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3"/>
        <w:widowControl/>
        <w:spacing w:lineRule="auto" w:line="360" w:before="0" w:after="0"/>
        <w:ind w:left="0" w:firstLine="709"/>
        <w:jc w:val="both"/>
        <w:rPr>
          <w:sz w:val="28"/>
          <w:szCs w:val="28"/>
          <w:lang w:val="bg-BG"/>
        </w:rPr>
      </w:pPr>
      <w:r>
        <w:rPr>
          <w:sz w:val="28"/>
          <w:szCs w:val="28"/>
          <w:lang w:val="bg-BG"/>
        </w:rPr>
        <w:t>Целта на настоящия документ е да представи извършената предварителна оценка на План за регионално развитие на Североизточния район за планиране за периода 2007-2013г., с който се определя политиката за постигане на високи и устойчиви темпове на социално-икономическо развитие в района за посочения период, в съответствие с целите и приоритетите на политиката за социално-икономическо сближаване на Европейския съюз, Националната политика за регионално развитие, респективно Националната стратегия за регионално развитие и целите и приоритетите, заложени в Областните стратегии за развитие на шестте области.</w:t>
      </w:r>
    </w:p>
    <w:p>
      <w:pPr>
        <w:pStyle w:val="Normal"/>
        <w:spacing w:lineRule="auto" w:line="360"/>
        <w:ind w:firstLine="709"/>
        <w:jc w:val="both"/>
        <w:rPr>
          <w:sz w:val="28"/>
          <w:szCs w:val="28"/>
        </w:rPr>
      </w:pPr>
      <w:r>
        <w:rPr>
          <w:sz w:val="28"/>
          <w:szCs w:val="28"/>
        </w:rPr>
        <w:t xml:space="preserve">Предварителната оценка на плана е насочена към подобряване на качеството му чрез анализ и препоръки от независими експерти. С нея се цели постигането на реалистичност и обоснованост на плана, в който предвидените цели, приоритети и мерки следва да допринесат за динамичното, устойчиво и балансирано развитие на Североизточния район, базирайки се на специфичните конкурентни предимства на района. Оценката изследва взаимовръзките между плана за развитие на Североизточния район за планиране и Националната стратегия за регионално развитие, както и секторните стратегии в областта на икономическото развитие, иновациите и инвестициите, човешките ресурси, транспорта, градската и околна среда. Планираните действия трябва да съответстват в максимална степен на мерките, които са заложени в политиките на ЕС и в регламентите на Структурните фондове и на Кохезионния фонд за новия програмен период 2007-2013г. Те следва да осигурят постигането на синергиен ефект при интегрираното им прилагане в развитието на иновационния, инфраструктурния, човешкия и природно културния потенциал на района. </w:t>
      </w:r>
    </w:p>
    <w:p>
      <w:pPr>
        <w:pStyle w:val="Normal"/>
        <w:spacing w:lineRule="auto" w:line="360"/>
        <w:ind w:firstLine="709"/>
        <w:jc w:val="both"/>
        <w:rPr/>
      </w:pPr>
      <w:r>
        <w:rPr>
          <w:sz w:val="28"/>
          <w:szCs w:val="28"/>
        </w:rPr>
        <w:t>Методологията на предварителната оценка на плана за развитие на Североизточния район за планиране (2007-2013) се базира на “Ръководството за предварителна оценка на програмни документи по структурните фондове на ЕС”</w:t>
      </w:r>
      <w:r>
        <w:rPr>
          <w:rStyle w:val="FootnoteCharacters"/>
          <w:rStyle w:val="FootnoteAnchor"/>
          <w:sz w:val="28"/>
          <w:szCs w:val="28"/>
        </w:rPr>
        <w:footnoteReference w:id="2"/>
      </w:r>
      <w:r>
        <w:rPr>
          <w:sz w:val="28"/>
          <w:szCs w:val="28"/>
        </w:rPr>
        <w:t>. Процесът на оценяване включва следните компоненти:</w:t>
      </w:r>
    </w:p>
    <w:p>
      <w:pPr>
        <w:pStyle w:val="Normal"/>
        <w:spacing w:lineRule="auto" w:line="360"/>
        <w:ind w:firstLine="709"/>
        <w:jc w:val="both"/>
        <w:rPr/>
      </w:pPr>
      <w:r>
        <w:rPr>
          <w:b/>
          <w:i/>
          <w:sz w:val="28"/>
          <w:szCs w:val="28"/>
        </w:rPr>
        <w:t>Анализ на натрупания опит.</w:t>
      </w:r>
      <w:r>
        <w:rPr>
          <w:sz w:val="28"/>
          <w:szCs w:val="28"/>
        </w:rPr>
        <w:t xml:space="preserve"> В България няма натрупан опит в прилагане на планове за регионално развитие. При подготовката на настоящия анализ е използван опитът при оценяването на Националния план за икономическо развитие (2000-2006), извършен от консорциума “ЕКОДЕС”, който съдържа “добри практики” в оценяването на програмни документи в страни-членки на ЕС.</w:t>
      </w:r>
    </w:p>
    <w:p>
      <w:pPr>
        <w:pStyle w:val="Normal"/>
        <w:spacing w:lineRule="auto" w:line="360"/>
        <w:ind w:firstLine="709"/>
        <w:jc w:val="both"/>
        <w:rPr/>
      </w:pPr>
      <w:r>
        <w:rPr>
          <w:b/>
          <w:i/>
          <w:sz w:val="28"/>
          <w:szCs w:val="28"/>
        </w:rPr>
        <w:t>Социално-икономически аспект на планираните интервенции.</w:t>
      </w:r>
      <w:r>
        <w:rPr>
          <w:sz w:val="28"/>
          <w:szCs w:val="28"/>
        </w:rPr>
        <w:t xml:space="preserve"> Екипът на “СМР </w:t>
      </w:r>
      <w:r>
        <w:rPr>
          <w:sz w:val="28"/>
          <w:szCs w:val="28"/>
          <w:lang w:val="en-US"/>
        </w:rPr>
        <w:t>Consulting</w:t>
      </w:r>
      <w:r>
        <w:rPr>
          <w:sz w:val="28"/>
          <w:szCs w:val="28"/>
        </w:rPr>
        <w:t>” извърши преглед на социално-икономическия анализ в плана за развитие на СИРП, за да се оцени обосноваността и съответствието на предложените цели, приоритети и мерки в стратегическата част на плана.</w:t>
      </w:r>
    </w:p>
    <w:p>
      <w:pPr>
        <w:pStyle w:val="Normal"/>
        <w:spacing w:lineRule="auto" w:line="360"/>
        <w:ind w:firstLine="709"/>
        <w:jc w:val="both"/>
        <w:rPr/>
      </w:pPr>
      <w:r>
        <w:rPr>
          <w:b/>
          <w:i/>
          <w:sz w:val="28"/>
          <w:szCs w:val="28"/>
        </w:rPr>
        <w:t>Преглед на анализа на силните и слабите страни, на възможностите и заплахите</w:t>
      </w:r>
      <w:r>
        <w:rPr>
          <w:b/>
          <w:sz w:val="28"/>
          <w:szCs w:val="28"/>
        </w:rPr>
        <w:t>.</w:t>
      </w:r>
      <w:r>
        <w:rPr>
          <w:sz w:val="28"/>
          <w:szCs w:val="28"/>
        </w:rPr>
        <w:t xml:space="preserve"> Предложеният SWOT анализ в плана за развитие беше оценен по отношение съответствието със стандартната методология за изготвянето му и за степента му на обвързаност със социално-икономическия анализ, посочените данни и направените изводи в него. </w:t>
      </w:r>
    </w:p>
    <w:p>
      <w:pPr>
        <w:pStyle w:val="Normal"/>
        <w:spacing w:lineRule="auto" w:line="360"/>
        <w:ind w:firstLine="709"/>
        <w:jc w:val="both"/>
        <w:rPr/>
      </w:pPr>
      <w:r>
        <w:rPr>
          <w:b/>
          <w:i/>
          <w:sz w:val="28"/>
          <w:szCs w:val="28"/>
        </w:rPr>
        <w:t>Оценка на вътрешната и външната съгласуваност на плана.</w:t>
      </w:r>
      <w:r>
        <w:rPr>
          <w:sz w:val="28"/>
          <w:szCs w:val="28"/>
        </w:rPr>
        <w:t xml:space="preserve"> Оценява се логическата съгласуваност на предложените цели, приоритети и мерки и степента на обвързаност с Националната стратегия за регионално развитие (2007-2013) и секторните стратегии в различните сфери. В тази част е извършен и анализ на съответствието на плана с политиките на ЕС</w:t>
      </w:r>
      <w:r>
        <w:rPr>
          <w:rStyle w:val="FootnoteCharacters"/>
          <w:rStyle w:val="FootnoteAnchor"/>
          <w:sz w:val="28"/>
          <w:szCs w:val="28"/>
        </w:rPr>
        <w:footnoteReference w:id="3"/>
      </w:r>
      <w:r>
        <w:rPr>
          <w:sz w:val="28"/>
          <w:szCs w:val="28"/>
        </w:rPr>
        <w:t>.</w:t>
      </w:r>
    </w:p>
    <w:p>
      <w:pPr>
        <w:pStyle w:val="Normal"/>
        <w:spacing w:lineRule="auto" w:line="360"/>
        <w:ind w:firstLine="709"/>
        <w:jc w:val="both"/>
        <w:rPr/>
      </w:pPr>
      <w:r>
        <w:rPr>
          <w:b/>
          <w:i/>
          <w:sz w:val="28"/>
          <w:szCs w:val="28"/>
        </w:rPr>
        <w:t>Количествена измеримост на целите и преглед на индикаторите.</w:t>
      </w:r>
      <w:r>
        <w:rPr>
          <w:sz w:val="28"/>
          <w:szCs w:val="28"/>
        </w:rPr>
        <w:t xml:space="preserve"> Изготвена е оценка на съответствието между поставените цели и индикаторите по критерии за релевантност, информационна обезпеченост, връзки с други части от плановия документ.</w:t>
      </w:r>
    </w:p>
    <w:p>
      <w:pPr>
        <w:pStyle w:val="Normal"/>
        <w:spacing w:lineRule="auto" w:line="360"/>
        <w:ind w:firstLine="709"/>
        <w:jc w:val="both"/>
        <w:rPr/>
      </w:pPr>
      <w:r>
        <w:rPr>
          <w:b/>
          <w:i/>
          <w:sz w:val="28"/>
          <w:szCs w:val="28"/>
        </w:rPr>
        <w:t>Система за мониторинг и оценка на плана</w:t>
      </w:r>
      <w:r>
        <w:rPr>
          <w:b/>
          <w:sz w:val="28"/>
          <w:szCs w:val="28"/>
        </w:rPr>
        <w:t>.</w:t>
      </w:r>
      <w:r>
        <w:rPr>
          <w:sz w:val="28"/>
          <w:szCs w:val="28"/>
        </w:rPr>
        <w:t xml:space="preserve"> Оценено е съответствието между нормативните изисквания за мониторинг и оценка на плановия документ, регламентирани със Закона за регионалното развитие и “добрите практики” в областта на мониторинга и оценяването на стратегически документи на ЕС.</w:t>
      </w:r>
    </w:p>
    <w:p>
      <w:pPr>
        <w:pStyle w:val="Normal"/>
        <w:spacing w:lineRule="auto" w:line="360"/>
        <w:ind w:firstLine="709"/>
        <w:jc w:val="both"/>
        <w:rPr/>
      </w:pPr>
      <w:r>
        <w:rPr>
          <w:b/>
          <w:i/>
          <w:sz w:val="28"/>
          <w:szCs w:val="28"/>
        </w:rPr>
        <w:t>Анализ на въздействието на плана и обосновка на разпределението на финансовите ресурси</w:t>
      </w:r>
      <w:r>
        <w:rPr>
          <w:b/>
          <w:sz w:val="28"/>
          <w:szCs w:val="28"/>
        </w:rPr>
        <w:t>.</w:t>
      </w:r>
      <w:r>
        <w:rPr>
          <w:sz w:val="28"/>
          <w:szCs w:val="28"/>
        </w:rPr>
        <w:t xml:space="preserve"> Експертите, извършващи предварителната оценка на плана оцениха съответствието между предложената в плана финансова рамка и принципите на Европейската регионална политика, в частност принципите на Структурните и Кохезионния фонд, като основни инструменти за финансиране на регионалните политики в страните-членки.</w:t>
      </w:r>
    </w:p>
    <w:p>
      <w:pPr>
        <w:pStyle w:val="Normal"/>
        <w:spacing w:lineRule="auto" w:line="360"/>
        <w:ind w:firstLine="709"/>
        <w:jc w:val="both"/>
        <w:rPr>
          <w:sz w:val="28"/>
          <w:szCs w:val="28"/>
        </w:rPr>
      </w:pPr>
      <w:r>
        <w:rPr>
          <w:sz w:val="28"/>
          <w:szCs w:val="28"/>
        </w:rPr>
        <w:t>хоризонтална сегрегация на пазара на труда, но причините за това не са изяснени. В тази връзка оценката съдържа допълнителни препоръки за изясняване на причините и за подобряване на интервенциите, насочени към равнопоставеност на половете, като се има предвид и факта, че при разработването на отделните проекти, особено в областта на човешките ресурси, подходът за осигуряване на равни възможности трябва да бъде точно прилаган.</w:t>
      </w:r>
    </w:p>
    <w:p>
      <w:pPr>
        <w:pStyle w:val="Normal"/>
        <w:rPr/>
      </w:pPr>
      <w:r>
        <w:rPr>
          <w:b/>
          <w:i/>
          <w:sz w:val="28"/>
          <w:szCs w:val="28"/>
        </w:rPr>
        <w:t>Анализ на въздействието на плана върху околната среда.</w:t>
      </w:r>
      <w:r>
        <w:rPr>
          <w:i/>
          <w:sz w:val="28"/>
          <w:szCs w:val="28"/>
        </w:rPr>
        <w:t xml:space="preserve"> </w:t>
      </w:r>
      <w:r>
        <w:rPr>
          <w:sz w:val="28"/>
          <w:szCs w:val="28"/>
        </w:rPr>
        <w:t>Извършена е оценка на</w:t>
      </w:r>
      <w:r>
        <w:rPr>
          <w:i/>
          <w:sz w:val="28"/>
          <w:szCs w:val="28"/>
        </w:rPr>
        <w:t xml:space="preserve"> </w:t>
      </w:r>
      <w:r>
        <w:rPr>
          <w:sz w:val="28"/>
          <w:szCs w:val="28"/>
        </w:rPr>
        <w:t>разгледаните в плана елементи на околната среда, как да се подобрят въздействията, които може да окаже изпълнението на заложените приоритети и мерки.</w:t>
      </w:r>
    </w:p>
    <w:p>
      <w:pPr>
        <w:pStyle w:val="Normal"/>
        <w:rPr>
          <w:sz w:val="28"/>
          <w:szCs w:val="28"/>
        </w:rPr>
      </w:pPr>
      <w:r>
        <w:rPr>
          <w:sz w:val="28"/>
          <w:szCs w:val="28"/>
        </w:rPr>
      </w:r>
    </w:p>
    <w:p>
      <w:pPr>
        <w:pStyle w:val="Normal"/>
        <w:spacing w:lineRule="auto" w:line="360"/>
        <w:jc w:val="both"/>
        <w:rPr>
          <w:b/>
          <w:b/>
          <w:i/>
          <w:i/>
          <w:sz w:val="28"/>
          <w:szCs w:val="28"/>
        </w:rPr>
      </w:pPr>
      <w:r>
        <w:rPr>
          <w:b/>
          <w:i/>
          <w:sz w:val="28"/>
          <w:szCs w:val="28"/>
        </w:rPr>
        <w:t>Общ преглед на плановия документ</w:t>
      </w:r>
    </w:p>
    <w:p>
      <w:pPr>
        <w:pStyle w:val="Normal"/>
        <w:spacing w:lineRule="auto" w:line="360"/>
        <w:ind w:firstLine="709"/>
        <w:jc w:val="both"/>
        <w:rPr>
          <w:sz w:val="28"/>
          <w:szCs w:val="28"/>
        </w:rPr>
      </w:pPr>
      <w:r>
        <w:rPr>
          <w:sz w:val="28"/>
          <w:szCs w:val="28"/>
        </w:rPr>
        <w:t>Планът за регионално развитие на Североизточния район за планиране съдържа анализ на икономическото, социалното и екологичното състояние на района за планиране и на потенциала за неговото развитие; анализ на силните и слабите страни, на възможностите и заплахите. Определен е обхватът на районите за целенасочено въздействие. Стратегическата част включва: визия, стратегически цели, приоритети, специфични цели и мерки за развитие, индикативна финансова таблица за ресурсно осигуряване на регионалния план (обща и по райони за целенасочено въздействие), проекти от стратегиите на шестте области в СИРП, система за управление, наблюдение, оценка и контрол на ефективното изпълнение и информационно осигуряване на плановия документ. В приложения са дадени списък на индикаторите за наблюдение на ПРР, проекти на общините от района, статистическа информация и др.</w:t>
      </w:r>
    </w:p>
    <w:p>
      <w:pPr>
        <w:pStyle w:val="Normal"/>
        <w:spacing w:lineRule="auto" w:line="360"/>
        <w:ind w:firstLine="709"/>
        <w:jc w:val="both"/>
        <w:rPr>
          <w:sz w:val="28"/>
          <w:szCs w:val="28"/>
        </w:rPr>
      </w:pPr>
      <w:r>
        <w:rPr>
          <w:sz w:val="28"/>
          <w:szCs w:val="28"/>
        </w:rPr>
        <w:t xml:space="preserve">В анализа на социално-икономическото развитие е извършено изследване на природогеографския и ресурсен потенциал, на тенденциите в икономическото развитие, социалния сектор, иновациите и технологиите, инфраструктурата, околната среда, селищното развитие и урбанистична структура, културно-историческото наследство и е направена оценка на екологичния риск. </w:t>
      </w:r>
    </w:p>
    <w:p>
      <w:pPr>
        <w:pStyle w:val="Normal"/>
        <w:spacing w:lineRule="auto" w:line="360"/>
        <w:ind w:firstLine="709"/>
        <w:jc w:val="both"/>
        <w:rPr>
          <w:sz w:val="28"/>
          <w:szCs w:val="28"/>
        </w:rPr>
      </w:pPr>
      <w:r>
        <w:rPr>
          <w:sz w:val="28"/>
          <w:szCs w:val="28"/>
        </w:rPr>
        <w:t>В плановия документ са включени индикативни таблици за общото финансиране по мерки с източници: Национално съфинансиране /държавен и общински бюджети/ и средства от Кохезионния фонд, Структурните фондове /ЕФРР, ЕСФ/ и Европейския селскостопански фонд за развитие на селските региони.</w:t>
      </w:r>
    </w:p>
    <w:p>
      <w:pPr>
        <w:pStyle w:val="Normal"/>
        <w:spacing w:lineRule="auto" w:line="360"/>
        <w:ind w:firstLine="709"/>
        <w:jc w:val="both"/>
        <w:rPr>
          <w:sz w:val="28"/>
          <w:szCs w:val="28"/>
        </w:rPr>
      </w:pPr>
      <w:r>
        <w:rPr>
          <w:sz w:val="28"/>
          <w:szCs w:val="28"/>
        </w:rPr>
        <w:t>Системите за наблюдение и оценка, както и информационното осигуряване на плана, отговарят на влязлата в сила Наредба за управлението, наблюдението, оценката и контрола за ефективното изпълнение и информационно осигуряване на регионалните планове за развитие, приета с ПМС №364 /в сила от 11.01.2005г./. Прилагането на принципа на партньорство между областните администрации, местните власти, де концентрираните структури на централните ведомства, регионалните търговско-промишлени палати и стопански камари, агенциите за развитие, неправителствените организации, поделенията на Българска академия на науките, висшите учебнизаведения и други заинтересовани лица е реализирано при разработването на програмния документ.</w:t>
      </w:r>
    </w:p>
    <w:p>
      <w:pPr>
        <w:pStyle w:val="Normal"/>
        <w:spacing w:lineRule="auto" w:line="360"/>
        <w:jc w:val="both"/>
        <w:rPr>
          <w:b/>
          <w:b/>
          <w:i/>
          <w:i/>
          <w:sz w:val="28"/>
          <w:szCs w:val="28"/>
        </w:rPr>
      </w:pPr>
      <w:r>
        <w:rPr>
          <w:b/>
          <w:i/>
          <w:sz w:val="28"/>
          <w:szCs w:val="28"/>
        </w:rPr>
        <w:t xml:space="preserve">Анализ на опита, натрупан в предходни периоди </w:t>
      </w:r>
    </w:p>
    <w:p>
      <w:pPr>
        <w:pStyle w:val="Normal"/>
        <w:spacing w:lineRule="auto" w:line="360"/>
        <w:ind w:firstLine="709"/>
        <w:jc w:val="both"/>
        <w:rPr>
          <w:sz w:val="28"/>
          <w:szCs w:val="28"/>
        </w:rPr>
      </w:pPr>
      <w:r>
        <w:rPr>
          <w:sz w:val="28"/>
          <w:szCs w:val="28"/>
        </w:rPr>
        <w:t>В Плана за развитие на Североизточния район за планиране (2007-2013) липсва анализ на миналия опит от прилагане на планове за регионално развитие. Основните причини са свързани с липсата на законодателно уреден процес на стратегическо планиране на регионално ниво в предходния планов период 2000-2006г., както и с факта, че в същия период само Южен централен район и Северозападен район за планиране бяха определени за целенасочено въздействие в повечето мерки, насочени към социално-икономическо сближаване чрез инструментите на програма Phare. В новия планов документ на СИРП са използвани като база за анализ и формулиране на интервенции планови документи на областните администрации, попадащи в териториалния обхват на Североизточния район за планиране.</w:t>
      </w:r>
    </w:p>
    <w:p>
      <w:pPr>
        <w:pStyle w:val="Heading2"/>
        <w:spacing w:lineRule="auto" w:line="360" w:before="0" w:after="0"/>
        <w:jc w:val="both"/>
        <w:rPr>
          <w:rFonts w:ascii="Times New Roman" w:hAnsi="Times New Roman" w:cs="Times New Roman"/>
        </w:rPr>
      </w:pPr>
      <w:r>
        <w:rPr>
          <w:rFonts w:cs="Times New Roman" w:ascii="Times New Roman" w:hAnsi="Times New Roman"/>
        </w:rPr>
        <w:t>Оценка на анализа на социално-икономическото развитие</w:t>
      </w:r>
    </w:p>
    <w:p>
      <w:pPr>
        <w:pStyle w:val="Normal"/>
        <w:spacing w:lineRule="auto" w:line="360"/>
        <w:ind w:firstLine="709"/>
        <w:jc w:val="both"/>
        <w:rPr>
          <w:sz w:val="28"/>
          <w:szCs w:val="28"/>
        </w:rPr>
      </w:pPr>
      <w:r>
        <w:rPr>
          <w:sz w:val="28"/>
          <w:szCs w:val="28"/>
        </w:rPr>
        <w:t xml:space="preserve">На секторно равнище качеството на анализа е сравнително добро, като позволява формулиране на цели и мерки и приоритизация на планираните интервенции. </w:t>
      </w:r>
    </w:p>
    <w:p>
      <w:pPr>
        <w:pStyle w:val="Normal"/>
        <w:spacing w:lineRule="auto" w:line="360"/>
        <w:ind w:firstLine="709"/>
        <w:jc w:val="both"/>
        <w:rPr/>
      </w:pPr>
      <w:r>
        <w:rPr>
          <w:b/>
          <w:sz w:val="28"/>
          <w:szCs w:val="28"/>
        </w:rPr>
        <w:t>Първият раздел от аналитичната част</w:t>
      </w:r>
      <w:r>
        <w:rPr>
          <w:sz w:val="28"/>
          <w:szCs w:val="28"/>
        </w:rPr>
        <w:t xml:space="preserve"> в Плана за регионално развитие на Североизточния район (2007-2013) се отнася до икономическото развитие на района за планиране. Икономическият растеж и БВП са проследени за периода 1999-2003г., като са отразени големите вътрешно регионални различия между шестте области в СИРП: в приноса им към дела за БВП на страната, в показателя БВП/човек - по този показател всички области освен Варненска са определени като “териториално-икономически единици с изоставащо равнище на развитие”. Изведени са важни тенденции в секторната структура на брутната добавена стойност (БДС) - СИРП е единственият район за планиране в страната, в който дела на селското стопанство в БДС е по-висок от този на промишлеността, при което делът на индустрията в БДС през последните години спада с темпове по-високи от средните за страната. Посочено е неравномерното акумулиране на преките чуждестранни инвестиции - над 65% са концентрирани във Варненска област, докато в другите области са под 10%. В развитието на бизнеса е представена структурата на фирмите - 99.1% са фирми с наети до 100 души. Показано е разпределението на МСП по сектори, делът им в приходите от продажби и заетостта, която осигуряват по сектори. Предприемачеството е разгледано по показател “равнище </w:t>
      </w:r>
    </w:p>
    <w:p>
      <w:pPr>
        <w:pStyle w:val="Normal"/>
        <w:spacing w:lineRule="auto" w:line="360"/>
        <w:ind w:firstLine="709"/>
        <w:jc w:val="both"/>
        <w:rPr>
          <w:sz w:val="28"/>
          <w:szCs w:val="28"/>
        </w:rPr>
      </w:pPr>
      <w:r>
        <w:rPr>
          <w:sz w:val="28"/>
          <w:szCs w:val="28"/>
        </w:rPr>
        <w:t>на заетост”, като е заложен резерв за нарастване при жените предприемачи. Посочена е разлика от близо два до три пъти при заетите с бизнес услуги на 10 000 жители между Варненска област и останалите области. Отразен е и териториалният дисбаланс в мрежата за насърчаване на предприемачеството и повишаване на заетостта в градовете на СИРП.</w:t>
      </w:r>
    </w:p>
    <w:p>
      <w:pPr>
        <w:pStyle w:val="Normal"/>
        <w:spacing w:lineRule="auto" w:line="360"/>
        <w:ind w:firstLine="709"/>
        <w:jc w:val="both"/>
        <w:rPr>
          <w:sz w:val="28"/>
          <w:szCs w:val="28"/>
        </w:rPr>
      </w:pPr>
      <w:r>
        <w:rPr>
          <w:sz w:val="28"/>
          <w:szCs w:val="28"/>
        </w:rPr>
        <w:t xml:space="preserve">Промишлеността е изследвана във всички сектори, като е разкрито много важно качество в структурата на индустрията - районът не е зависим от малък брой отрасли и съществуващата диверсификация увеличава възможностите за обновяване, разширяване и растеж. Обосновани са възможностите за развитие на клъстери в химията, морската индустрия, производството на стъкло, хранително-вкусовата промишленост и винопроизводството, като основа на бъдеща териториално-производствена интеграция. </w:t>
      </w:r>
    </w:p>
    <w:p>
      <w:pPr>
        <w:pStyle w:val="Normal"/>
        <w:spacing w:lineRule="auto" w:line="360"/>
        <w:ind w:firstLine="709"/>
        <w:jc w:val="both"/>
        <w:rPr/>
      </w:pPr>
      <w:r>
        <w:rPr>
          <w:sz w:val="28"/>
          <w:szCs w:val="28"/>
        </w:rPr>
        <w:t>Анализът на под секторите “Селско стопанство”, “Горско стопанство”, “Рибарство и аквакултури”</w:t>
      </w:r>
      <w:r>
        <w:rPr>
          <w:b/>
          <w:i/>
          <w:sz w:val="28"/>
          <w:szCs w:val="28"/>
        </w:rPr>
        <w:t xml:space="preserve"> </w:t>
      </w:r>
      <w:r>
        <w:rPr>
          <w:sz w:val="28"/>
          <w:szCs w:val="28"/>
        </w:rPr>
        <w:t>е подробно направен с достатъчно обосновани изводи</w:t>
      </w:r>
      <w:r>
        <w:rPr>
          <w:b/>
          <w:sz w:val="28"/>
          <w:szCs w:val="28"/>
        </w:rPr>
        <w:t xml:space="preserve">. </w:t>
      </w:r>
      <w:r>
        <w:rPr>
          <w:sz w:val="28"/>
          <w:szCs w:val="28"/>
        </w:rPr>
        <w:t>Отразена е приоритетността на растениевъдството с мястото, което то заема в национален мащаб. СИРП разполага с най-голям дял обработваема заема, с най-голям дял използваема земеделска площ, произвежда в национален мащаб най-голям дял пшеница, царевица и слънчоглед, а на основата на развитото лозарство формират производството си всички големи винопроизводители в района на Търговище, Преслав и Варна. По отношение на животновъдството са дадени отрицателни тенденции в развитието и загубата на добрите позиции, които е имал подотрасълът на пазара. По отношение на реализираните проекти по “Програма Сапард” са показани най—големи инвестиции в областта на трайните насаждения, земеделската техника, както и проектите по публичните мерки, насочени към подобряване на инфраструктурата в селските региони. Усвояемостта на средствата и спечелените проекти са критерий за наличие на потенциал в района за планиране за успешна реализация и на проекти по Структурните фондове. Секторът “Рибарство и аквакултури” е разгледан като специфичен ресурс, който притежават Черноморските общини. Това е основа за диверсификация на икономическите дейности и възможности за осигуряване на заетост. Не е разгледан въпросът за приоритетите и целите, в т.ч. и финансирането чрез Европейския фонд за насърчаване на рибарството, което реално досега не е направено и в Националните стратегически и програмни документи.</w:t>
      </w:r>
    </w:p>
    <w:p>
      <w:pPr>
        <w:pStyle w:val="Normal"/>
        <w:spacing w:lineRule="auto" w:line="360"/>
        <w:ind w:firstLine="709"/>
        <w:jc w:val="both"/>
        <w:rPr/>
      </w:pPr>
      <w:r>
        <w:rPr>
          <w:sz w:val="28"/>
          <w:szCs w:val="28"/>
        </w:rPr>
        <w:t>В анализа на</w:t>
      </w:r>
      <w:r>
        <w:rPr>
          <w:b/>
          <w:i/>
          <w:sz w:val="28"/>
          <w:szCs w:val="28"/>
        </w:rPr>
        <w:t xml:space="preserve"> </w:t>
      </w:r>
      <w:r>
        <w:rPr>
          <w:sz w:val="28"/>
          <w:szCs w:val="28"/>
        </w:rPr>
        <w:t>под сектор “Туризъм” екипът е</w:t>
      </w:r>
      <w:r>
        <w:rPr>
          <w:b/>
          <w:i/>
          <w:sz w:val="28"/>
          <w:szCs w:val="28"/>
        </w:rPr>
        <w:t xml:space="preserve"> </w:t>
      </w:r>
      <w:r>
        <w:rPr>
          <w:sz w:val="28"/>
          <w:szCs w:val="28"/>
        </w:rPr>
        <w:t xml:space="preserve">разкрил една от най-силните страни на икономиката в СИРП: водещо място за страната по отношение на леглова база на 100 жители, легло денонощия в експлоатация, реализирани нощувки на 100 жители, приходи от настаняване, най-висок среден престой на посетители, най-висока заетост на базата. Отчетена е изключителната концентрация на туристически дейности в областите Варна и Добрич (над 95% по редица показатели). Показателите в сравнение с данните в плана от 2002 година бележат трайна тенденция към завишаване. Едновременно с това, както е добре подчертано в аналитичната част на плана, редица общини с много добри морски рекреационни ресурси изостават в своето туристическо развитие. Разгледан е проблемът с концентрацията на туристическа база по Черноморието в няколко курортни комплекса, където силно урбанистичният характер на курортната среда води до влошаване качеството на цялостния туристически продукт и до посещаемост от сравнително ниско платежоспособни туристи. </w:t>
      </w:r>
    </w:p>
    <w:p>
      <w:pPr>
        <w:pStyle w:val="Normal"/>
        <w:spacing w:lineRule="auto" w:line="360"/>
        <w:ind w:firstLine="720"/>
        <w:jc w:val="both"/>
        <w:rPr>
          <w:sz w:val="28"/>
          <w:szCs w:val="28"/>
        </w:rPr>
      </w:pPr>
      <w:r>
        <w:rPr>
          <w:sz w:val="28"/>
          <w:szCs w:val="28"/>
        </w:rPr>
        <w:t>Развитието на туризма в останалата част на СИРП е разгледан в контекста на богатото културно, историческо и природно наследство. Това е предпоставка за развитието на алтернативни форми на туризъм: културен, познавателен, аграрен, екологичен и възможност да се предложи един интегриран по своя характер, общ туристически продукт в района, като е отчетено крайно недостатъчното използване на ресурса в настоящия момент.</w:t>
      </w:r>
    </w:p>
    <w:p>
      <w:pPr>
        <w:pStyle w:val="Normal"/>
        <w:spacing w:lineRule="auto" w:line="360"/>
        <w:ind w:firstLine="709"/>
        <w:jc w:val="both"/>
        <w:rPr>
          <w:sz w:val="28"/>
          <w:szCs w:val="28"/>
        </w:rPr>
      </w:pPr>
      <w:r>
        <w:rPr>
          <w:sz w:val="28"/>
          <w:szCs w:val="28"/>
        </w:rPr>
        <w:t xml:space="preserve">Културно-историческото наследство на СИРП е представено достатъчно изчерпателно, като информацията за културните, исторически и природни ресурси доказва възможността за развитие на алтернативи: културен, познавателен и еко-туризъм. Анализът посочва потенциала за развитие на средата, възможностите за нейното активно включване в туристическия продукт на района и дава добра основа за идентификация на проблемните и приоритетни области за социализация и туристическо ползване на обектите на културно историческото наследство, както и действията, свързани с валоризирането на ресурси в територии с богато биоразнообразие и ландшафтни феномени. </w:t>
      </w:r>
    </w:p>
    <w:p>
      <w:pPr>
        <w:pStyle w:val="Normal"/>
        <w:spacing w:lineRule="auto" w:line="360"/>
        <w:ind w:firstLine="709"/>
        <w:jc w:val="both"/>
        <w:rPr>
          <w:sz w:val="28"/>
          <w:szCs w:val="28"/>
        </w:rPr>
      </w:pPr>
      <w:r>
        <w:rPr>
          <w:sz w:val="28"/>
          <w:szCs w:val="28"/>
        </w:rPr>
        <w:t xml:space="preserve">Представените статистически данни са за 2002год. препоръчително е да се допълнят с наличните данни за основни показатели за 2004г. </w:t>
      </w:r>
    </w:p>
    <w:p>
      <w:pPr>
        <w:pStyle w:val="Normal"/>
        <w:spacing w:lineRule="auto" w:line="360"/>
        <w:ind w:firstLine="709"/>
        <w:jc w:val="both"/>
        <w:rPr>
          <w:sz w:val="28"/>
          <w:szCs w:val="28"/>
        </w:rPr>
      </w:pPr>
      <w:r>
        <w:rPr>
          <w:sz w:val="28"/>
          <w:szCs w:val="28"/>
        </w:rPr>
        <w:t xml:space="preserve">Анализът в частта “Иновации и технологии, центрове за научни изследвания и иновации” е ориентиран към особено важен признак за конкурентноспособност на регионалната икономика - развитието и перспективите за изграждане на “икономика </w:t>
      </w:r>
    </w:p>
    <w:p>
      <w:pPr>
        <w:pStyle w:val="Normal"/>
        <w:spacing w:lineRule="auto" w:line="360"/>
        <w:ind w:firstLine="709"/>
        <w:jc w:val="both"/>
        <w:rPr>
          <w:sz w:val="28"/>
          <w:szCs w:val="28"/>
        </w:rPr>
      </w:pPr>
      <w:r>
        <w:rPr>
          <w:sz w:val="28"/>
          <w:szCs w:val="28"/>
        </w:rPr>
        <w:t xml:space="preserve">основана на знанието”. Акцентирано е върху ограничения брой функциониращи научноизследователски институти - само осем за целия планов район, териториално концентрирани във Варненска област (4 от научноизследователските институти са разположени в гр.Варна). Липсва изградена технологична инфраструктура като високотехнологични паркове, технологични инкубатори, центрове за трансфер на технологии. Липсва връзка между предприятията и научноизследователските центрове. Има недостатъчна иновационна активност на фирмите, ниска иновационна култура на предприемачите, ограничено придобиване на готови продукти на НИРД, патенти, лицензи, ноу-хау, търговски марки, нисък дял на разходите за НИРД от БВП (0.20%) на СИРП. Данните и изводите са базирани на пилотно изследване на НСИ - Териториално статистическо бюро-Варна за иновационната дейност на предприятията във Варненска област за периода 2001-2003г. </w:t>
      </w:r>
    </w:p>
    <w:p>
      <w:pPr>
        <w:pStyle w:val="Normal"/>
        <w:spacing w:lineRule="auto" w:line="360"/>
        <w:ind w:firstLine="709"/>
        <w:jc w:val="both"/>
        <w:rPr>
          <w:sz w:val="28"/>
          <w:szCs w:val="28"/>
        </w:rPr>
      </w:pPr>
      <w:r>
        <w:rPr>
          <w:sz w:val="28"/>
          <w:szCs w:val="28"/>
        </w:rPr>
        <w:t>В анализа на информационните и комуникационни технологии е отразена силната териториална диференциация в развитието на пазара на информационните технологии (гр.Варна заема втора позиция след гр.София). Ограничено е навлизането на информационните технологии както в бизнеса, така и в публичните услуги в останалите общини. Сравнително добро е използването на Интернет от фирмите, но само за нуждите на маркетинговия мониторинг - проучване и сравняване с конкурентни фирми, предлагане на реклама, без обратна връзка, с минимален брой фирми предлагащи/използващи електронна търговия.</w:t>
      </w:r>
    </w:p>
    <w:p>
      <w:pPr>
        <w:pStyle w:val="Normal"/>
        <w:spacing w:lineRule="auto" w:line="360"/>
        <w:ind w:firstLine="709"/>
        <w:jc w:val="both"/>
        <w:rPr>
          <w:sz w:val="28"/>
          <w:szCs w:val="28"/>
        </w:rPr>
      </w:pPr>
      <w:r>
        <w:rPr>
          <w:sz w:val="28"/>
          <w:szCs w:val="28"/>
        </w:rPr>
        <w:t>На аналитичните части на секторите “Иновации и технологии, центрове за научни изследвания и иновации” и “Информационни и комуникационни технологии” е отделено специално внимание. Те са самостоятелно разработени и са предмет на специални изводи от страна на колектива, разработващ плана за регионално развитие на СИРП. Взета е предвид ролята, която следва да имат за повишаване конкурентноспособността на икономиката на СИРП. За съжаление в пилотното изследване на НСИ е включена само Варненска област. Липсват данни за останалите пет области в района за планиране.</w:t>
      </w:r>
    </w:p>
    <w:p>
      <w:pPr>
        <w:pStyle w:val="Normal"/>
        <w:spacing w:lineRule="auto" w:line="360"/>
        <w:ind w:firstLine="709"/>
        <w:jc w:val="both"/>
        <w:rPr/>
      </w:pPr>
      <w:r>
        <w:rPr>
          <w:b/>
          <w:sz w:val="28"/>
          <w:szCs w:val="28"/>
        </w:rPr>
        <w:t xml:space="preserve">Вторият раздел от аналитичната част </w:t>
      </w:r>
      <w:r>
        <w:rPr>
          <w:sz w:val="28"/>
          <w:szCs w:val="28"/>
        </w:rPr>
        <w:t>на Плана за регионално развитие на Североизточния район за планиране (2007-2013) представя състоянието на социалния сектор: демографски характеристики и тенденции, заетост, икономическа активност и безработица, образование, здравеопазване и култура.</w:t>
      </w:r>
    </w:p>
    <w:p>
      <w:pPr>
        <w:pStyle w:val="Normal"/>
        <w:spacing w:lineRule="auto" w:line="360"/>
        <w:ind w:firstLine="709"/>
        <w:jc w:val="both"/>
        <w:rPr>
          <w:sz w:val="28"/>
          <w:szCs w:val="28"/>
        </w:rPr>
      </w:pPr>
      <w:r>
        <w:rPr>
          <w:sz w:val="28"/>
          <w:szCs w:val="28"/>
        </w:rPr>
        <w:t>Демографските характеристики и тенденции са изследвани за периода 1991 - 2001г. Детайлно са обследвани основните показатели за демографското състояние в района: естествен прираст, механичен прираст, гъстота на населението, структура по пол, възраст, образование, етнос, вероизповедание. Анализът на ситуацията извежда отрицателен прираст за всичките пет области освен за Варненска област; средногодишен темп на намаляване на населението близък до средния за страната, но при силно изразени тенденции в отрицателния прираст в 43 общини и положителен такъв само за 6 Черноморски общини. Отразени са трайните тенденции към намаляване на общия брой на населението, промените във възрастовата структура и намаляване на младите хора, повишаване на образователното равнище, миграционни процеси към Северен централен район и Югозападен район за планиране. Посочена е връзката между демографските проблеми и социално-икономическото развитие. Изследвани са вътрешно регионалните различия в плановия район и е очертана ролята на гр.Варна, който със своя социално-икономически потенциал забавя развитието на отрицателните демографски процеси и се явява притегателен център за голяма част от населението в района.</w:t>
      </w:r>
    </w:p>
    <w:p>
      <w:pPr>
        <w:pStyle w:val="Normal"/>
        <w:spacing w:lineRule="auto" w:line="360"/>
        <w:ind w:firstLine="709"/>
        <w:jc w:val="both"/>
        <w:rPr>
          <w:sz w:val="28"/>
          <w:szCs w:val="28"/>
        </w:rPr>
      </w:pPr>
      <w:r>
        <w:rPr>
          <w:sz w:val="28"/>
          <w:szCs w:val="28"/>
        </w:rPr>
        <w:t xml:space="preserve">Анализът на заетостта, икономическата активност и безработицата е съсредоточен главно върху вътрешно регионалните различия, при което са установени много неблагоприятни тенденции в някои от областите: коефициентът на икономическа активност за Разград и Силистра бележи спад средно с 0.5 пункта за периода 2002 - 2003г; равнището на безработицата в СИРП е едно от най-високите в страната, дори в 20 общини е 2 пъти над средното за страната; много висок дял на безработни жени - 54.94%; на младежи до 29г. - 30%; на дълготрайно безработни - 55.8%. Не са представени данни за връзката на нивото на безработицата със степента на образование и квалификация. Липсват данни за рисковите групи на пазара на труда – неграмотни, инвалиди и етнически малцинства. Отразени са вътрешно регионалните различия, но в разработката би трябвало да присъства и изследване на причините, довели до диспропорциите в района за планиране. </w:t>
      </w:r>
    </w:p>
    <w:p>
      <w:pPr>
        <w:pStyle w:val="Normal"/>
        <w:spacing w:lineRule="auto" w:line="360"/>
        <w:ind w:firstLine="709"/>
        <w:jc w:val="both"/>
        <w:rPr>
          <w:sz w:val="28"/>
          <w:szCs w:val="28"/>
        </w:rPr>
      </w:pPr>
      <w:r>
        <w:rPr>
          <w:sz w:val="28"/>
          <w:szCs w:val="28"/>
        </w:rPr>
        <w:t>Анализът на заетостта и безработицата в СИРП показва, че по тези показатели районът се намира в изключително неблагоприятно положение в сравнение с останалите райони на Република България и това е един от основните проблеми за решаване чрез интервенциите, предвидени в плана за регионално развитие.</w:t>
      </w:r>
    </w:p>
    <w:p>
      <w:pPr>
        <w:pStyle w:val="Normal"/>
        <w:spacing w:lineRule="auto" w:line="360"/>
        <w:ind w:firstLine="709"/>
        <w:jc w:val="both"/>
        <w:rPr>
          <w:sz w:val="28"/>
          <w:szCs w:val="28"/>
        </w:rPr>
      </w:pPr>
      <w:r>
        <w:rPr>
          <w:sz w:val="28"/>
          <w:szCs w:val="28"/>
        </w:rPr>
        <w:t xml:space="preserve">Анализът на качеството на живот е извършен чрез изследване на социалната инфраструктура, включваща образованието, здравеопазването и културно-историческото наследство. Не са разгледани: доходите на населението, нивото на бедността и тяхното отражение върху развитието на човешките ресурси. </w:t>
      </w:r>
    </w:p>
    <w:p>
      <w:pPr>
        <w:pStyle w:val="Normal"/>
        <w:spacing w:lineRule="auto" w:line="360"/>
        <w:ind w:firstLine="709"/>
        <w:jc w:val="both"/>
        <w:rPr>
          <w:sz w:val="28"/>
          <w:szCs w:val="28"/>
        </w:rPr>
      </w:pPr>
      <w:r>
        <w:rPr>
          <w:sz w:val="28"/>
          <w:szCs w:val="28"/>
        </w:rPr>
        <w:t xml:space="preserve">В частта на анализа, разглеждаща образованието и обучението, са дадени общите проблеми, свързани с намаляване броя на учебните заведения, преподавателите и учащите се, ранното напускане и не ангажиране на децата в образователния процес и особено на ромския етнос, недостигът на финансови ресурси, недостатъчното ниво на въведени информационни и комуникационни технологии в образователния процес. С изключение на териториалното разпределение на висшите учебни заведения други диспропорции в образователната система не са изведени. Посочените в анализа тенденции в развитието на образователната система, като: партньорство между висшите училища и научните институти, оптимизиране на училищната мрежа в съответствие с демографското развитие, обвързване нуждите на пазара на труда с професионалното обучение не са подкрепени с данни. </w:t>
      </w:r>
    </w:p>
    <w:p>
      <w:pPr>
        <w:pStyle w:val="Normal"/>
        <w:spacing w:lineRule="auto" w:line="360"/>
        <w:ind w:firstLine="709"/>
        <w:jc w:val="both"/>
        <w:rPr>
          <w:sz w:val="28"/>
          <w:szCs w:val="28"/>
        </w:rPr>
      </w:pPr>
      <w:r>
        <w:rPr>
          <w:sz w:val="28"/>
          <w:szCs w:val="28"/>
        </w:rPr>
        <w:t xml:space="preserve">Анализът, разглеждащ здравеопазването включва статистическа информация за здравната инфраструктура и услугите в сферата на здравеопазването – брой болнични легла, брой лекари, брой стоматолози и медицински персонал и т.н. В анализа са установени регионалните различия във възможностите за ползване и достъп до здравни и социални услуги. Проблемите на здравната система в Североизточния район за планиране съвпадат с направените изводи и изведените тенденции в други изследвания, отнасящи се до развитието на здравната система в страната. </w:t>
      </w:r>
    </w:p>
    <w:p>
      <w:pPr>
        <w:pStyle w:val="Normal"/>
        <w:spacing w:lineRule="auto" w:line="360"/>
        <w:ind w:firstLine="709"/>
        <w:jc w:val="both"/>
        <w:rPr>
          <w:sz w:val="28"/>
          <w:szCs w:val="28"/>
        </w:rPr>
      </w:pPr>
      <w:r>
        <w:rPr>
          <w:sz w:val="28"/>
          <w:szCs w:val="28"/>
        </w:rPr>
        <w:t xml:space="preserve">В анализа на културните и духовни институции са представени по области музеите, театрите, галериите, фестивалите, конкурсите, читалищата и библиотеките като основа за културния и духовен живот на обществото. В богатството и разнообразието на културно-историческите забележителности в региона, екипът е отчел възможностите за пълноценно използване на този потенциал, което да спомогне за туристическото развитие на района не само по Черноморското крайбрежие, но и във вътрешността на плановия район чрез формиране на културни маршрути към историческите и културни обекти. </w:t>
      </w:r>
    </w:p>
    <w:p>
      <w:pPr>
        <w:pStyle w:val="Normal"/>
        <w:spacing w:lineRule="auto" w:line="360"/>
        <w:ind w:firstLine="709"/>
        <w:jc w:val="both"/>
        <w:rPr/>
      </w:pPr>
      <w:r>
        <w:rPr>
          <w:b/>
          <w:sz w:val="28"/>
          <w:szCs w:val="28"/>
        </w:rPr>
        <w:t xml:space="preserve">В третия раздел от аналитичната част </w:t>
      </w:r>
      <w:r>
        <w:rPr>
          <w:sz w:val="28"/>
          <w:szCs w:val="28"/>
        </w:rPr>
        <w:t>на Плана за регионално развитие на Североизточния район за планиране (2007-2013) е представен анализ на съществуващата базова техническа инфраструктура.</w:t>
      </w:r>
    </w:p>
    <w:p>
      <w:pPr>
        <w:pStyle w:val="Normal"/>
        <w:spacing w:lineRule="auto" w:line="360"/>
        <w:ind w:firstLine="709"/>
        <w:jc w:val="both"/>
        <w:rPr>
          <w:sz w:val="28"/>
          <w:szCs w:val="28"/>
        </w:rPr>
      </w:pPr>
      <w:r>
        <w:rPr>
          <w:sz w:val="28"/>
          <w:szCs w:val="28"/>
        </w:rPr>
        <w:t>Частта за транспортната инфраструктура: пристанища, летища, пътната и железопътната мрежа дава добра база за разбиране на значението, което тя има за икономическото развитие на района, както и ключовата роля, която играе в свързването на националната пътна мрежа с европейските транспортни коридори - № 7, № 8, № 9 и ТРАСЕКА. Анализирано е текущото състояние и потребностите от развитие на транспортната система. Показана е ролята на автомагистралната мрежа и първокласната пътна мрежа, пространствената им организация за осигуряването на връзките на СИРП в национален и международен план. Отделно от това са разгледани показателите за изграденост. на пътната мрежа в СИРП - осигуреността с второкласна и третокласна пътна мрежа, както и състоянието на общинската пътна мрежа. В анализа е отчетена необходимостта от подобряване и развитие на транспортната система в изостаналите и периферни райони. Това ще подпомогне развитието на местната икономика, мобилността на населението и осигуряването на възможности за заетост. Изведена е необходимостта от доизграждане на автомагистрала “Хемус” за подобряване връзките между областите на района и автомагистрала “Черно море”, като елемент на транс европейския коридор № 8. Проведени са изследвания за достъп по републиканската пътна мрежа до областните центрове във всяка една от шестте области, при което се появяват сериозни различия в осигуряване на необходимия 60 минутен изохрон на достъп за областите Силистра, Добрич и Търговище. При определяне на достъпността, екипът е разгледал с внимателно изграденост. и гъстотата на пътната мрежа. Препоръчително е изследването за достъпност да се допълни с анализ на състоянието на пътната мрежа съгласно стандартите на ИА “Пътища” по отношение на участъците, попадащи в категориите “Лошо състояние”, за което има достатъчно индикации, особено що се отнася до общинската пътна мрежа. Изясняването на количествените параметри в тази категория по класове и по вид пътища ще допринесе за определянето на необходимите финансови ресурси и околичествяване на целите в стратегическата част на плана за регионално развитие на СИРП.</w:t>
      </w:r>
    </w:p>
    <w:p>
      <w:pPr>
        <w:pStyle w:val="Normal"/>
        <w:spacing w:lineRule="auto" w:line="360"/>
        <w:ind w:firstLine="709"/>
        <w:jc w:val="both"/>
        <w:rPr>
          <w:sz w:val="28"/>
          <w:szCs w:val="28"/>
        </w:rPr>
      </w:pPr>
      <w:r>
        <w:rPr>
          <w:sz w:val="28"/>
          <w:szCs w:val="28"/>
        </w:rPr>
        <w:t xml:space="preserve">Железопътната инфраструктура е подробно изследвана по отношение на главни ж.п.линии, гъстота, относителен дял на електрифицирани и удвоени ж.п.линии, гъстота на гари и спирки. Отчетени са разликите в нивото на обслужване между отделните области. Отчетена е възможността за обслужване на по-голяма територия чрез вътрешните и международните превози по сухоземен и воден път, развитието на </w:t>
      </w:r>
    </w:p>
    <w:p>
      <w:pPr>
        <w:pStyle w:val="Normal"/>
        <w:spacing w:lineRule="auto" w:line="360"/>
        <w:ind w:firstLine="709"/>
        <w:jc w:val="both"/>
        <w:rPr>
          <w:sz w:val="28"/>
          <w:szCs w:val="28"/>
        </w:rPr>
      </w:pPr>
      <w:r>
        <w:rPr>
          <w:sz w:val="28"/>
          <w:szCs w:val="28"/>
        </w:rPr>
        <w:t>комбинираните превози и ролята на пристанищата в СИРП. Удвояването и електрификацията на ж.п.линията Синдел-Карнобат, част от коридор № 8, подобряването на състоянието на отсечките по първата ж.п.линия в България “Русе-Варна” са изведени като приоритетни, ключови обекти за развитието на железопътния транспорт в СИРП. Отразен е проблемът с ж.п.линиите от регионален характер: ниско ниво на натовареност - икономическа неефективност, водеща до закриване на линии, гари и спирки, което влошава още повече нивото на обслужване и води до неблагоприятни последици за местното икономическо развитие. Успешното формулиране на ролята и значението на транспортната инфраструктура е позволило на екипа да определи ясно и точно главните приоритети, проблеми и предизвикателства, пред които е изправен Североизточния район за планиране и да предложи в стратегическата част на документа мерките, които следва да бъдат реализирани за да се преодолеят затрудненията, свързани с достъпа до услуги и да се осигурят необходимите условия за социално-икономическо развитие на района.</w:t>
      </w:r>
    </w:p>
    <w:p>
      <w:pPr>
        <w:pStyle w:val="Normal"/>
        <w:spacing w:lineRule="auto" w:line="360"/>
        <w:ind w:firstLine="709"/>
        <w:jc w:val="both"/>
        <w:rPr>
          <w:sz w:val="28"/>
          <w:szCs w:val="28"/>
        </w:rPr>
      </w:pPr>
      <w:r>
        <w:rPr>
          <w:sz w:val="28"/>
          <w:szCs w:val="28"/>
        </w:rPr>
        <w:t>При анализиране на далекосъобщителната инфраструктура са представени основните показатели за комуникационния сектор, като изграденост. на съобщителната мрежа, респ. брой телефонни постове на 100 жители, степен на цифровизация на телефонните услуги. Отново са подчертани силните регионални диспропорции в състоянието на сектора в шестте области на плановия район. Отчитайки информационните и комуникационни технологии като условие за развитие на региона, екипът е определил водеща роля на сектора за развитие на конкурентноспособността на икономиката в СИРП. Това е постижимо чрез модернизация на съобщителната мрежа, предлагаща ново качество на услугите, включително широколентови линии за високоскоростен интернет достъп, пренос на огромен обем данни, средства за намаляване на препятствията от разстоянието и отдалечеността, характерни за периферните райони, улесняване на международна комуникация, по-бързото и качествено разпространение на информацията и възможностите за предлагане на нови видове услуги.</w:t>
      </w:r>
    </w:p>
    <w:p>
      <w:pPr>
        <w:pStyle w:val="Normal"/>
        <w:spacing w:lineRule="auto" w:line="360"/>
        <w:ind w:firstLine="720"/>
        <w:jc w:val="both"/>
        <w:rPr>
          <w:sz w:val="28"/>
          <w:szCs w:val="28"/>
        </w:rPr>
      </w:pPr>
      <w:r>
        <w:rPr>
          <w:sz w:val="28"/>
          <w:szCs w:val="28"/>
        </w:rPr>
        <w:t xml:space="preserve">Аналитичната част, разглеждаща водоснабдяването и канализацията на СИРП очертава едни от най-тежките проблеми в цялата страна. Водоизточниците в голямата си част са подземни, разположени на голяма дълбочина, с изявена трайна тенденция на спад в подаваното количество вода за населението. Амортизацията на водопреносната и разпределителна мрежа дава над 65% загуби на вода. Всичко това обуславя висока </w:t>
      </w:r>
    </w:p>
    <w:p>
      <w:pPr>
        <w:pStyle w:val="Normal"/>
        <w:spacing w:lineRule="auto" w:line="360"/>
        <w:ind w:firstLine="720"/>
        <w:jc w:val="both"/>
        <w:rPr>
          <w:sz w:val="28"/>
          <w:szCs w:val="28"/>
        </w:rPr>
      </w:pPr>
      <w:r>
        <w:rPr>
          <w:sz w:val="28"/>
          <w:szCs w:val="28"/>
        </w:rPr>
        <w:t xml:space="preserve">енергоемкост на процеса на водоснабдяване и води до най-високата цена на водните услуги в страната. Близо 14.7% от населението е подложено на режим при водоснабдяването. Проблемите по отношение на водоснабдяването и канализацията са детайлно представени на ниво област, като при наличие на режими във водоподаването е акцентирано върху отделни общини и населени места. Екипът, разработващ плана успешно е акцентирал върху ролята на ВиК инфраструктурата за осигуряване качеството на жизнената среда, повишаване на инвестиционния интерес и връзката на  канализационната мрежа и пречиствателните станции за отпадни води с опазване на качествата на рекреационния ресурс по крайбрежието и вътрешността на района. Отчетени са различията между нивото на изграденост. на водоснабдителната и канализационна система и изграденост. на ПСОВ. Изведената цел за осигуряване на цялото население с непрекъснато водоснабдяване при добри питейни качества е обоснована и в съответствие с Националната стратегия за околна среда. Представената статистическата информация е успешно интерпретирана и служи за подкрепа на направените изводи, а не за самоцелен количествен анализ на системата. </w:t>
      </w:r>
    </w:p>
    <w:p>
      <w:pPr>
        <w:pStyle w:val="Normal"/>
        <w:spacing w:lineRule="auto" w:line="360"/>
        <w:ind w:firstLine="709"/>
        <w:jc w:val="both"/>
        <w:rPr>
          <w:sz w:val="28"/>
          <w:szCs w:val="28"/>
        </w:rPr>
      </w:pPr>
      <w:r>
        <w:rPr>
          <w:sz w:val="28"/>
          <w:szCs w:val="28"/>
        </w:rPr>
        <w:t xml:space="preserve">Анализът на енергийната инфраструктура разглежда мощностите за производство на ел.енергия, съсредоточени в ТЕЦ-Варна и електропреносната система, развита на територията на СИРП, като част от транс граничния енергиен пръстен България-Румъния-Молдова със съответните трансформаторни подстанции и мрежи високо напрежение, както и развитата транзитна газопреносна мрежа на “Булгаргаз”, която формира енергиен инфраструктурен коридор в направлението север-юг през СИРП. Разгледано е развитието на газоразпределителната система с изграждането на газоснабдителната мрежа за ниско налягане в газоразпределителния район ”Добруджа”. Разработващият екип е откроил предимствата от използването на природния газ за индустриални и битови цели. В аналитичната част не е разгледана електроразпределителната мрежа, осигуряваща доставката на ел.енергията до потребителите. Липсва анализ на повишените потребности от изграждане на електроразпределителни мрежи и трафопостове за задоволяване нуждите на разширяващите се урбанизирани територии и курортни комплекси. Не е отразен добивът на природния газ от находище “Галата”и включването му в националната газопреносна система от 2004 год. Въз основа на разположението си и ресурсите на СИРП са отчетени възможностите за пълноценно използване на възобновяеми източници на енергия, с акцент върху зоните за “Голяма и средна ветроенергетика”. В анализа не е разгледан като ресурс и използването на геотермалната енергия. </w:t>
      </w:r>
    </w:p>
    <w:p>
      <w:pPr>
        <w:pStyle w:val="Normal"/>
        <w:spacing w:lineRule="auto" w:line="360"/>
        <w:ind w:firstLine="709"/>
        <w:jc w:val="both"/>
        <w:rPr>
          <w:sz w:val="28"/>
          <w:szCs w:val="28"/>
        </w:rPr>
      </w:pPr>
      <w:r>
        <w:rPr>
          <w:sz w:val="28"/>
          <w:szCs w:val="28"/>
        </w:rPr>
        <w:t>Част “Селищно развитие и урбанистична структура” - анализът е пълен, разработен с професионализъм и поставя акценти върху специфични особености на селищната мрежа в СИРП: де балансираност по отношение на големите градове, предопределяща съответното неравномерно социално-икономическо развитие, индициран общ спад в урбанистичното развитие на малките и средни градове и силно изявени процеси на урбанизация по оста Варна-Белослав-Девня, свързани с индустриалното развитие и в посока север-юг по Черноморското крайбрежие във връзка с развитието на туризма. Подробно са анализирани проблемите на градското развитие: състоянието на техническата инфраструктура, амортизацията на физическата среда и качеството на обществените пространства, проблемите с производствените зони, зелените системи и културно-историческото наследство.</w:t>
      </w:r>
    </w:p>
    <w:p>
      <w:pPr>
        <w:pStyle w:val="Heading1"/>
        <w:widowControl/>
        <w:spacing w:lineRule="auto" w:line="360" w:before="0" w:after="0"/>
        <w:jc w:val="both"/>
        <w:rPr>
          <w:rFonts w:ascii="Times New Roman" w:hAnsi="Times New Roman" w:cs="Times New Roman"/>
          <w:sz w:val="28"/>
          <w:szCs w:val="28"/>
          <w:lang w:val="bg-BG"/>
        </w:rPr>
      </w:pPr>
      <w:r>
        <w:rPr>
          <w:rFonts w:cs="Times New Roman" w:ascii="Times New Roman" w:hAnsi="Times New Roman"/>
          <w:sz w:val="28"/>
          <w:szCs w:val="28"/>
          <w:lang w:val="bg-BG"/>
        </w:rPr>
      </w:r>
    </w:p>
    <w:p>
      <w:pPr>
        <w:pStyle w:val="TextBody"/>
        <w:ind w:firstLine="748"/>
        <w:rPr>
          <w:i/>
          <w:i/>
          <w:iCs/>
          <w:sz w:val="28"/>
          <w:szCs w:val="28"/>
        </w:rPr>
      </w:pPr>
      <w:r>
        <w:rPr>
          <w:i/>
          <w:iCs/>
          <w:sz w:val="28"/>
          <w:szCs w:val="28"/>
        </w:rPr>
        <w:t>- с вграждането му в междурегионалното и национално развитие и сътрудничество.</w:t>
      </w:r>
    </w:p>
    <w:p>
      <w:pPr>
        <w:pStyle w:val="Normal"/>
        <w:spacing w:lineRule="auto" w:line="360"/>
        <w:ind w:firstLine="709"/>
        <w:jc w:val="both"/>
        <w:rPr>
          <w:sz w:val="28"/>
          <w:szCs w:val="28"/>
        </w:rPr>
      </w:pPr>
      <w:r>
        <w:rPr>
          <w:sz w:val="28"/>
          <w:szCs w:val="28"/>
        </w:rPr>
        <w:t>Като цяло аналитичната част на плана дава относително пълна картина за социално-икономическото развитие на плановия район. Анализът е съсредоточен върху вътрешно регионалните различия в Североизточния район за планиране. Там, където проблемите стоят с особена острота, анализът е на ниво община (населено място). Обхватът на документа е балансиран, не са налични обемни анализи на отделни сектори, които да влошават качеството му в значителна степен.</w:t>
      </w:r>
    </w:p>
    <w:p>
      <w:pPr>
        <w:pStyle w:val="Normal"/>
        <w:spacing w:lineRule="auto" w:line="360"/>
        <w:ind w:firstLine="709"/>
        <w:jc w:val="both"/>
        <w:rPr>
          <w:sz w:val="28"/>
          <w:szCs w:val="28"/>
        </w:rPr>
      </w:pPr>
      <w:r>
        <w:rPr>
          <w:sz w:val="28"/>
          <w:szCs w:val="28"/>
        </w:rPr>
        <w:t>Общата оценка на плана за развитие на Североизточния район за планиране в частта анализ на социално-икономическото развитие е следната:</w:t>
      </w:r>
    </w:p>
    <w:p>
      <w:pPr>
        <w:pStyle w:val="Normal"/>
        <w:numPr>
          <w:ilvl w:val="0"/>
          <w:numId w:val="3"/>
        </w:numPr>
        <w:tabs>
          <w:tab w:val="clear" w:pos="708"/>
          <w:tab w:val="left" w:pos="720" w:leader="none"/>
          <w:tab w:val="left" w:pos="1440" w:leader="none"/>
        </w:tabs>
        <w:spacing w:lineRule="auto" w:line="360"/>
        <w:ind w:left="1440" w:hanging="720"/>
        <w:jc w:val="both"/>
        <w:rPr>
          <w:sz w:val="28"/>
          <w:szCs w:val="28"/>
        </w:rPr>
      </w:pPr>
      <w:r>
        <w:rPr>
          <w:sz w:val="28"/>
          <w:szCs w:val="28"/>
        </w:rPr>
        <w:t xml:space="preserve">изследвани са главните аспекти на регионалното развитие. Изследването е балансирано по отношение на обема и представената статистическа информация; </w:t>
      </w:r>
    </w:p>
    <w:p>
      <w:pPr>
        <w:pStyle w:val="Normal"/>
        <w:numPr>
          <w:ilvl w:val="0"/>
          <w:numId w:val="3"/>
        </w:numPr>
        <w:tabs>
          <w:tab w:val="clear" w:pos="708"/>
          <w:tab w:val="left" w:pos="720" w:leader="none"/>
          <w:tab w:val="left" w:pos="1440" w:leader="none"/>
        </w:tabs>
        <w:spacing w:lineRule="auto" w:line="360"/>
        <w:ind w:left="1440" w:hanging="720"/>
        <w:jc w:val="both"/>
        <w:rPr>
          <w:sz w:val="28"/>
          <w:szCs w:val="28"/>
        </w:rPr>
      </w:pPr>
      <w:r>
        <w:rPr>
          <w:sz w:val="28"/>
          <w:szCs w:val="28"/>
        </w:rPr>
        <w:t>откроени са основните приоритети и проблеми в СИРП, което е позволило обвързването им в анализа на силните и слабите страни, възможностите и заплахите;</w:t>
      </w:r>
    </w:p>
    <w:p>
      <w:pPr>
        <w:pStyle w:val="Normal"/>
        <w:numPr>
          <w:ilvl w:val="0"/>
          <w:numId w:val="3"/>
        </w:numPr>
        <w:tabs>
          <w:tab w:val="clear" w:pos="708"/>
          <w:tab w:val="left" w:pos="720" w:leader="none"/>
          <w:tab w:val="left" w:pos="1440" w:leader="none"/>
        </w:tabs>
        <w:spacing w:lineRule="auto" w:line="360"/>
        <w:ind w:left="1440" w:hanging="720"/>
        <w:jc w:val="both"/>
        <w:rPr>
          <w:sz w:val="28"/>
          <w:szCs w:val="28"/>
        </w:rPr>
      </w:pPr>
      <w:r>
        <w:rPr>
          <w:sz w:val="28"/>
          <w:szCs w:val="28"/>
        </w:rPr>
        <w:t>отразени са специфични области като конкурентноспособност, технологии и иновации, развитие на човешките ресурси, заетост и безработица;</w:t>
      </w:r>
    </w:p>
    <w:p>
      <w:pPr>
        <w:pStyle w:val="Normal"/>
        <w:numPr>
          <w:ilvl w:val="0"/>
          <w:numId w:val="3"/>
        </w:numPr>
        <w:tabs>
          <w:tab w:val="clear" w:pos="708"/>
          <w:tab w:val="left" w:pos="720" w:leader="none"/>
          <w:tab w:val="left" w:pos="1440" w:leader="none"/>
        </w:tabs>
        <w:spacing w:lineRule="auto" w:line="360"/>
        <w:ind w:left="1440" w:hanging="720"/>
        <w:jc w:val="both"/>
        <w:rPr>
          <w:sz w:val="28"/>
          <w:szCs w:val="28"/>
        </w:rPr>
      </w:pPr>
      <w:r>
        <w:rPr>
          <w:sz w:val="28"/>
          <w:szCs w:val="28"/>
        </w:rPr>
        <w:t>не са налични противоречия между текстове в отделните раздели, отразени са взаимовръзките между отделните сектори (например туризъм и културно-историческо наследство, далекосъобщения - ИКТ);</w:t>
      </w:r>
    </w:p>
    <w:p>
      <w:pPr>
        <w:pStyle w:val="Normal"/>
        <w:numPr>
          <w:ilvl w:val="0"/>
          <w:numId w:val="3"/>
        </w:numPr>
        <w:tabs>
          <w:tab w:val="clear" w:pos="708"/>
          <w:tab w:val="left" w:pos="720" w:leader="none"/>
          <w:tab w:val="left" w:pos="1440" w:leader="none"/>
        </w:tabs>
        <w:spacing w:lineRule="auto" w:line="360"/>
        <w:ind w:left="1440" w:hanging="720"/>
        <w:jc w:val="both"/>
        <w:rPr>
          <w:sz w:val="28"/>
          <w:szCs w:val="28"/>
        </w:rPr>
      </w:pPr>
      <w:r>
        <w:rPr>
          <w:sz w:val="28"/>
          <w:szCs w:val="28"/>
        </w:rPr>
        <w:t>представената статистическа информация е актуална, като са използвани данните на НСИ и допълнителни данни от мониторинговата система на МОСВ. При наличие на данни от пилотни проучвания същите са отчетени в анализа. Препоръчително е данните за 2002г. да се допълнят с такива за 2003 и 2004г., особено в раздела за туризма. Направените изводи почиват на представената информация.</w:t>
      </w:r>
    </w:p>
    <w:p>
      <w:pPr>
        <w:pStyle w:val="Heading2"/>
        <w:spacing w:lineRule="auto" w:line="360" w:before="0" w:after="0"/>
        <w:jc w:val="both"/>
        <w:rPr>
          <w:rFonts w:ascii="Times New Roman" w:hAnsi="Times New Roman" w:cs="Times New Roman"/>
        </w:rPr>
      </w:pPr>
      <w:r>
        <w:rPr>
          <w:rFonts w:cs="Times New Roman" w:ascii="Times New Roman" w:hAnsi="Times New Roman"/>
        </w:rPr>
        <w:t>Съответствие между анализа на социално-икономическото развитие и анализа на силните и слабите страни, на възможностите и заплахите.</w:t>
      </w:r>
    </w:p>
    <w:p>
      <w:pPr>
        <w:pStyle w:val="Normal"/>
        <w:spacing w:lineRule="auto" w:line="360"/>
        <w:ind w:firstLine="709"/>
        <w:jc w:val="both"/>
        <w:rPr>
          <w:sz w:val="28"/>
          <w:szCs w:val="28"/>
        </w:rPr>
      </w:pPr>
      <w:r>
        <w:rPr>
          <w:sz w:val="28"/>
          <w:szCs w:val="28"/>
        </w:rPr>
        <w:t xml:space="preserve">Анализът на силните и слабите страни, на възможностите и заплахите е изпълнен в съответствие със стандартната методология, според която силните и слабите страни са резултат от влиянието на вътрешни фактори, а възможностите и заплахите на външни фактори. SWOT-aнализът се базира на направените изводи в отделните сектори на аналитичната част. Екипът е успял сравнително точно да изведе силните и слабите страни, възможностите и заплахите въз основа на резултатите от анализа на социално-икономическата среда, но значителният брой на позициите в предложения SWOT-анализ силно затрудняват възможностите да бъде извършена приоритизация на предложените мерки за въздействие. Допълнително представяне на отделни SWOT-анализи за: “икономическо развитие”; “социално развитие”; “техническа инфраструктура”; “околна среда и екологичен риск”; “развитие на градовете” ясно ще подкрепи отделните приоритети и мерки, залегнали в стратегическата част на плановия документ. </w:t>
      </w:r>
    </w:p>
    <w:p>
      <w:pPr>
        <w:pStyle w:val="Heading2"/>
        <w:spacing w:lineRule="auto" w:line="360" w:before="0" w:after="0"/>
        <w:jc w:val="both"/>
        <w:rPr>
          <w:rFonts w:ascii="Times New Roman" w:hAnsi="Times New Roman" w:cs="Times New Roman"/>
        </w:rPr>
      </w:pPr>
      <w:r>
        <w:rPr>
          <w:rFonts w:cs="Times New Roman" w:ascii="Times New Roman" w:hAnsi="Times New Roman"/>
        </w:rPr>
        <w:t>Определяне на районите за целенасочено въздействие</w:t>
      </w:r>
    </w:p>
    <w:p>
      <w:pPr>
        <w:pStyle w:val="Normal"/>
        <w:spacing w:lineRule="auto" w:line="360"/>
        <w:ind w:firstLine="709"/>
        <w:jc w:val="both"/>
        <w:rPr>
          <w:sz w:val="28"/>
          <w:szCs w:val="28"/>
        </w:rPr>
      </w:pPr>
      <w:r>
        <w:rPr>
          <w:sz w:val="28"/>
          <w:szCs w:val="28"/>
        </w:rPr>
        <w:t>Общините, попадащи в различните категории за целенасочено въздействие са определени в съответствие със Закона за регионалното развитие, като е използвана официална статистическа информация и информация от областните администрации за показателите, за които не се събира такава. Дефинираните райони са предварително съгласувани с Регионалния съвет за развитие на СИРП, удостоверено с протокол от 20.06.2005г.</w:t>
      </w:r>
    </w:p>
    <w:p>
      <w:pPr>
        <w:pStyle w:val="Normal"/>
        <w:tabs>
          <w:tab w:val="clear" w:pos="708"/>
          <w:tab w:val="left" w:pos="5760" w:leader="none"/>
        </w:tabs>
        <w:spacing w:lineRule="auto" w:line="360"/>
        <w:ind w:firstLine="709"/>
        <w:jc w:val="both"/>
        <w:rPr>
          <w:sz w:val="28"/>
          <w:szCs w:val="28"/>
        </w:rPr>
      </w:pPr>
      <w:r>
        <w:rPr>
          <w:sz w:val="28"/>
          <w:szCs w:val="28"/>
        </w:rPr>
      </w:r>
    </w:p>
    <w:p>
      <w:pPr>
        <w:pStyle w:val="Heading1"/>
        <w:widowControl/>
        <w:spacing w:lineRule="auto" w:line="360" w:before="0" w:after="0"/>
        <w:jc w:val="both"/>
        <w:rPr>
          <w:rFonts w:ascii="Times New Roman" w:hAnsi="Times New Roman" w:cs="Times New Roman"/>
          <w:sz w:val="28"/>
          <w:szCs w:val="28"/>
          <w:lang w:val="bg-BG"/>
        </w:rPr>
      </w:pPr>
      <w:r>
        <w:rPr>
          <w:rFonts w:cs="Times New Roman" w:ascii="Times New Roman" w:hAnsi="Times New Roman"/>
          <w:sz w:val="28"/>
          <w:szCs w:val="28"/>
          <w:lang w:val="bg-BG"/>
        </w:rPr>
        <w:t>ВЪТРЕШНА И ВЪНШНА СЪГЛАСУВАНОСТ НА ПЛАНА ЗА РАЗВИТИЕ</w:t>
      </w:r>
    </w:p>
    <w:p>
      <w:pPr>
        <w:pStyle w:val="Heading2"/>
        <w:spacing w:lineRule="auto" w:line="360" w:before="0" w:after="0"/>
        <w:jc w:val="both"/>
        <w:rPr>
          <w:rFonts w:ascii="Times New Roman" w:hAnsi="Times New Roman" w:cs="Times New Roman"/>
        </w:rPr>
      </w:pPr>
      <w:r>
        <w:rPr>
          <w:rFonts w:cs="Times New Roman" w:ascii="Times New Roman" w:hAnsi="Times New Roman"/>
        </w:rPr>
        <w:t xml:space="preserve">Връзка между SWOT анализа и формулираните цели и приоритети </w:t>
      </w:r>
    </w:p>
    <w:p>
      <w:pPr>
        <w:pStyle w:val="Normal"/>
        <w:spacing w:lineRule="auto" w:line="360"/>
        <w:ind w:firstLine="709"/>
        <w:jc w:val="both"/>
        <w:rPr>
          <w:sz w:val="28"/>
          <w:szCs w:val="28"/>
        </w:rPr>
      </w:pPr>
      <w:r>
        <w:rPr>
          <w:sz w:val="28"/>
          <w:szCs w:val="28"/>
        </w:rPr>
        <w:t xml:space="preserve">Дефинираните цели в стратегическата част на Плана за развитие на Североизточния район за планиране (2007-2013) са насочени към намаляване на слабите страни и преодоляване на заплахите. Те имат за цел развитие и оползотворяване на наличния потенциал. Целите са определени в съответствие с “Методически указания за разработване на Регионалните планове за развитие”, като е приложена комбинацията от метода на еквивалентността и метода на конверсията. Целите и приоритетите са съгласувани от гледна точка на спецификата на района за планиране. Планирани са действия за развитие на потенциала и уникалните конкурентни предимства на района и преодоляване на наличните дефицити в съответствие с извършения анализ на силните и слабите страни, възможностите и заплахите. </w:t>
      </w:r>
    </w:p>
    <w:p>
      <w:pPr>
        <w:pStyle w:val="Footer"/>
        <w:spacing w:lineRule="auto" w:line="360"/>
        <w:ind w:firstLine="709"/>
        <w:jc w:val="both"/>
        <w:rPr>
          <w:sz w:val="28"/>
          <w:szCs w:val="28"/>
        </w:rPr>
      </w:pPr>
      <w:r>
        <w:rPr>
          <w:sz w:val="28"/>
          <w:szCs w:val="28"/>
        </w:rPr>
        <w:t xml:space="preserve">В плановия документ е постигнато съответствие с основните цели и приоритети на разработените стратегически документи, попадащи във времевия хоризонт на Плана за развитие като Националната стратегия за регионално развитие (2005-2015), Стратегията по заетостта (2004-2010), Иновационната стратегия, Стратегията за насърчаване на инвестициите (2005-2010), Националната стратегия за околната среда (2005-2014), Национална стратегия за управление на отпадъците, Стратегията за въвеждане на информационни и комуникационни технологии в средното образование, Националната стратегия за продължаващото професионално обучение (2005-2010). </w:t>
      </w:r>
    </w:p>
    <w:p>
      <w:pPr>
        <w:pStyle w:val="Normal"/>
        <w:spacing w:lineRule="auto" w:line="360"/>
        <w:jc w:val="both"/>
        <w:rPr>
          <w:sz w:val="28"/>
          <w:szCs w:val="28"/>
        </w:rPr>
      </w:pPr>
      <w:r>
        <w:rPr>
          <w:sz w:val="28"/>
          <w:szCs w:val="28"/>
        </w:rPr>
        <w:t xml:space="preserve">Постигането на главната стратегическа цел е обвързано с постигането на три основни стратегически цели, които са формулирани от екипа, както следва: </w:t>
      </w:r>
    </w:p>
    <w:p>
      <w:pPr>
        <w:pStyle w:val="Normal"/>
        <w:tabs>
          <w:tab w:val="clear" w:pos="708"/>
          <w:tab w:val="left" w:pos="720" w:leader="none"/>
          <w:tab w:val="left" w:pos="1080" w:leader="none"/>
        </w:tabs>
        <w:spacing w:lineRule="auto" w:line="360"/>
        <w:ind w:firstLine="709"/>
        <w:jc w:val="both"/>
        <w:rPr>
          <w:sz w:val="28"/>
          <w:szCs w:val="28"/>
        </w:rPr>
      </w:pPr>
      <w:r>
        <w:rPr>
          <w:sz w:val="28"/>
          <w:szCs w:val="28"/>
        </w:rPr>
        <w:t>1.</w:t>
        <w:tab/>
        <w:t>Развитие на динамична икономика, основана на конкурентноспособност и иновации.</w:t>
      </w:r>
    </w:p>
    <w:p>
      <w:pPr>
        <w:pStyle w:val="Normal"/>
        <w:tabs>
          <w:tab w:val="clear" w:pos="708"/>
          <w:tab w:val="left" w:pos="720" w:leader="none"/>
          <w:tab w:val="left" w:pos="1080" w:leader="none"/>
        </w:tabs>
        <w:spacing w:lineRule="auto" w:line="360"/>
        <w:ind w:firstLine="709"/>
        <w:jc w:val="both"/>
        <w:rPr>
          <w:sz w:val="28"/>
          <w:szCs w:val="28"/>
        </w:rPr>
      </w:pPr>
      <w:r>
        <w:rPr>
          <w:sz w:val="28"/>
          <w:szCs w:val="28"/>
        </w:rPr>
        <w:t>2.</w:t>
        <w:tab/>
        <w:t>Мобилизиране и повишаване качеството на човешкия потенциал и достигане на европейски стандарти в заетостта и жизнената среда.</w:t>
      </w:r>
    </w:p>
    <w:p>
      <w:pPr>
        <w:pStyle w:val="Normal"/>
        <w:tabs>
          <w:tab w:val="clear" w:pos="708"/>
          <w:tab w:val="left" w:pos="720" w:leader="none"/>
          <w:tab w:val="left" w:pos="1080" w:leader="none"/>
        </w:tabs>
        <w:spacing w:lineRule="auto" w:line="360"/>
        <w:ind w:firstLine="709"/>
        <w:jc w:val="both"/>
        <w:rPr>
          <w:sz w:val="28"/>
          <w:szCs w:val="28"/>
        </w:rPr>
      </w:pPr>
      <w:r>
        <w:rPr>
          <w:sz w:val="28"/>
          <w:szCs w:val="28"/>
        </w:rPr>
        <w:t>3.</w:t>
        <w:tab/>
        <w:t>Въвеждане на съвременни подходи на управление и развитие на партньорството и териториалното сътрудничество.</w:t>
      </w:r>
    </w:p>
    <w:p>
      <w:pPr>
        <w:pStyle w:val="Normal"/>
        <w:spacing w:lineRule="auto" w:line="360"/>
        <w:ind w:firstLine="709"/>
        <w:jc w:val="both"/>
        <w:rPr>
          <w:sz w:val="28"/>
          <w:szCs w:val="28"/>
        </w:rPr>
      </w:pPr>
      <w:r>
        <w:rPr>
          <w:sz w:val="28"/>
          <w:szCs w:val="28"/>
        </w:rPr>
        <w:t xml:space="preserve">За всяка от стратегическите цели са дадени основни целеви индикатори, като за не всички са дадени базовите стойности, но са определени целевите равнища. Необходимо е да бъдат въведени още: </w:t>
      </w:r>
    </w:p>
    <w:p>
      <w:pPr>
        <w:pStyle w:val="Normal"/>
        <w:spacing w:lineRule="auto" w:line="360"/>
        <w:ind w:firstLine="709"/>
        <w:jc w:val="both"/>
        <w:rPr>
          <w:sz w:val="28"/>
          <w:szCs w:val="28"/>
        </w:rPr>
      </w:pPr>
      <w:r>
        <w:rPr>
          <w:sz w:val="28"/>
          <w:szCs w:val="28"/>
        </w:rPr>
        <w:t>1. Индикатори за ресурса.</w:t>
      </w:r>
    </w:p>
    <w:p>
      <w:pPr>
        <w:pStyle w:val="Normal"/>
        <w:spacing w:lineRule="auto" w:line="360"/>
        <w:ind w:firstLine="709"/>
        <w:jc w:val="both"/>
        <w:rPr>
          <w:sz w:val="28"/>
          <w:szCs w:val="28"/>
        </w:rPr>
      </w:pPr>
      <w:r>
        <w:rPr>
          <w:sz w:val="28"/>
          <w:szCs w:val="28"/>
        </w:rPr>
        <w:t>2. Индикатори за продукта.</w:t>
      </w:r>
    </w:p>
    <w:p>
      <w:pPr>
        <w:pStyle w:val="Normal"/>
        <w:spacing w:lineRule="auto" w:line="360"/>
        <w:ind w:firstLine="709"/>
        <w:jc w:val="both"/>
        <w:rPr>
          <w:sz w:val="28"/>
          <w:szCs w:val="28"/>
        </w:rPr>
      </w:pPr>
      <w:r>
        <w:rPr>
          <w:sz w:val="28"/>
          <w:szCs w:val="28"/>
        </w:rPr>
        <w:t>3. Индикатори за резултата.</w:t>
      </w:r>
    </w:p>
    <w:p>
      <w:pPr>
        <w:pStyle w:val="Normal"/>
        <w:spacing w:lineRule="auto" w:line="360"/>
        <w:ind w:firstLine="709"/>
        <w:jc w:val="both"/>
        <w:rPr>
          <w:sz w:val="28"/>
          <w:szCs w:val="28"/>
        </w:rPr>
      </w:pPr>
      <w:r>
        <w:rPr>
          <w:sz w:val="28"/>
          <w:szCs w:val="28"/>
        </w:rPr>
        <w:t>4. Индикатори за въздействието</w:t>
      </w:r>
    </w:p>
    <w:p>
      <w:pPr>
        <w:pStyle w:val="Normal"/>
        <w:spacing w:lineRule="auto" w:line="360"/>
        <w:ind w:firstLine="708"/>
        <w:jc w:val="both"/>
        <w:rPr>
          <w:sz w:val="28"/>
          <w:szCs w:val="28"/>
        </w:rPr>
      </w:pPr>
      <w:r>
        <w:rPr>
          <w:sz w:val="28"/>
          <w:szCs w:val="28"/>
        </w:rPr>
        <w:t>За измерване на резултата като възможни индикатори могат да се използват обособените основни индикатори в сектора на мониторинг и контрол.</w:t>
      </w:r>
    </w:p>
    <w:p>
      <w:pPr>
        <w:pStyle w:val="Normal"/>
        <w:spacing w:lineRule="auto" w:line="360"/>
        <w:jc w:val="both"/>
        <w:rPr>
          <w:sz w:val="28"/>
          <w:szCs w:val="28"/>
        </w:rPr>
      </w:pPr>
      <w:r>
        <w:rPr>
          <w:sz w:val="28"/>
          <w:szCs w:val="28"/>
        </w:rPr>
        <w:t xml:space="preserve">За постигането на устойчиво и балансирано регионално развитие, в плана са предвидени финансови средства представени чрез индикативната финансова рамка. Предвидените индикативни източници на финансиране са разделени на две основни групи – национално финансиране (държавен и общински бюджет и частно финансиране) и външно финансиране, като главните източници са Структурните и Кохезионния фонд на ЕС. </w:t>
      </w:r>
    </w:p>
    <w:p>
      <w:pPr>
        <w:pStyle w:val="Normal"/>
        <w:spacing w:lineRule="auto" w:line="360"/>
        <w:ind w:firstLine="708"/>
        <w:jc w:val="both"/>
        <w:rPr>
          <w:sz w:val="28"/>
          <w:szCs w:val="28"/>
        </w:rPr>
      </w:pPr>
      <w:r>
        <w:rPr>
          <w:sz w:val="28"/>
          <w:szCs w:val="28"/>
        </w:rPr>
        <w:t xml:space="preserve">Предвидените финансови средства са съобразени с ограничителните фактори за финансиране на регионалното развитие. От друга страна разпределението между необходимите финансови средства по отделните приоритети е премерено чрез значимостта и капиталоемкостта на отделните дейности. </w:t>
      </w:r>
    </w:p>
    <w:p>
      <w:pPr>
        <w:pStyle w:val="Normal"/>
        <w:spacing w:lineRule="auto" w:line="360"/>
        <w:ind w:firstLine="708"/>
        <w:jc w:val="both"/>
        <w:rPr>
          <w:sz w:val="28"/>
          <w:szCs w:val="28"/>
        </w:rPr>
      </w:pPr>
      <w:r>
        <w:rPr>
          <w:sz w:val="28"/>
          <w:szCs w:val="28"/>
        </w:rPr>
        <w:t xml:space="preserve">Основните финансови ресурси са предвидени да бъдат осигурени от републиканския бюджет, като средствата от фондовете на ЕС отговарят на принципа за допълняемост. При определянето на финансовите средства е отчетено, че България е договорила с ЕС финансовата рамка само за периода 2007-2009г. </w:t>
      </w:r>
    </w:p>
    <w:p>
      <w:pPr>
        <w:pStyle w:val="Normal"/>
        <w:spacing w:lineRule="auto" w:line="360"/>
        <w:jc w:val="both"/>
        <w:rPr>
          <w:b/>
          <w:b/>
          <w:i/>
          <w:i/>
          <w:sz w:val="28"/>
          <w:szCs w:val="28"/>
        </w:rPr>
      </w:pPr>
      <w:r>
        <w:rPr>
          <w:b/>
          <w:i/>
          <w:sz w:val="28"/>
          <w:szCs w:val="28"/>
        </w:rPr>
        <w:t>Анализ на въздействието върху специфични приоритети, свързани с политики на Общността</w:t>
      </w:r>
    </w:p>
    <w:p>
      <w:pPr>
        <w:pStyle w:val="Normal"/>
        <w:spacing w:lineRule="auto" w:line="360"/>
        <w:ind w:firstLine="709"/>
        <w:jc w:val="both"/>
        <w:rPr/>
      </w:pPr>
      <w:r>
        <w:rPr>
          <w:b/>
          <w:i/>
          <w:sz w:val="28"/>
          <w:szCs w:val="28"/>
        </w:rPr>
        <w:t>Анализът на въздействието върху околната</w:t>
      </w:r>
      <w:r>
        <w:rPr>
          <w:i/>
          <w:sz w:val="28"/>
          <w:szCs w:val="28"/>
        </w:rPr>
        <w:t xml:space="preserve"> </w:t>
      </w:r>
      <w:r>
        <w:rPr>
          <w:b/>
          <w:i/>
          <w:sz w:val="28"/>
          <w:szCs w:val="28"/>
        </w:rPr>
        <w:t>среда</w:t>
      </w:r>
      <w:r>
        <w:rPr>
          <w:sz w:val="28"/>
          <w:szCs w:val="28"/>
        </w:rPr>
        <w:t xml:space="preserve"> е представен в отделна секция в настоящия доклад</w:t>
      </w:r>
      <w:r>
        <w:rPr>
          <w:b/>
          <w:sz w:val="28"/>
          <w:szCs w:val="28"/>
        </w:rPr>
        <w:t>.</w:t>
      </w:r>
    </w:p>
    <w:p>
      <w:pPr>
        <w:pStyle w:val="Normal"/>
        <w:spacing w:lineRule="auto" w:line="360"/>
        <w:ind w:firstLine="709"/>
        <w:jc w:val="both"/>
        <w:rPr>
          <w:i/>
          <w:i/>
          <w:sz w:val="28"/>
          <w:szCs w:val="28"/>
        </w:rPr>
      </w:pPr>
      <w:r>
        <w:rPr>
          <w:b/>
          <w:i/>
          <w:sz w:val="28"/>
          <w:szCs w:val="28"/>
        </w:rPr>
        <w:t>Равнопоставеността на половете</w:t>
      </w:r>
      <w:r>
        <w:rPr>
          <w:sz w:val="28"/>
          <w:szCs w:val="28"/>
        </w:rPr>
        <w:t xml:space="preserve"> намира място само в мерките за интеграция на уязвимите групи от населението чрез дейности за насърчаване на предприемачеството сред жените. Мярката е обвързана с изводите в аналитичната част на плана по отношение на високия дял на безработни жени.</w:t>
      </w:r>
    </w:p>
    <w:p>
      <w:pPr>
        <w:pStyle w:val="Normal"/>
        <w:spacing w:lineRule="auto" w:line="360"/>
        <w:ind w:firstLine="709"/>
        <w:jc w:val="both"/>
        <w:rPr/>
      </w:pPr>
      <w:r>
        <w:rPr>
          <w:b/>
          <w:i/>
          <w:sz w:val="28"/>
          <w:szCs w:val="28"/>
        </w:rPr>
        <w:t>Въздействието върху регионалния пазар на труда.</w:t>
      </w:r>
      <w:r>
        <w:rPr>
          <w:i/>
          <w:sz w:val="28"/>
          <w:szCs w:val="28"/>
        </w:rPr>
        <w:t xml:space="preserve"> </w:t>
      </w:r>
      <w:r>
        <w:rPr>
          <w:sz w:val="28"/>
          <w:szCs w:val="28"/>
        </w:rPr>
        <w:t>В плановия документ са предвидени дейности от компетенциите на местните власти, които се приемат за основен бенефициент на финансовата подкрепа.</w:t>
      </w:r>
    </w:p>
    <w:p>
      <w:pPr>
        <w:pStyle w:val="Normal"/>
        <w:spacing w:lineRule="auto" w:line="360"/>
        <w:ind w:firstLine="709"/>
        <w:jc w:val="both"/>
        <w:rPr>
          <w:sz w:val="28"/>
          <w:szCs w:val="28"/>
        </w:rPr>
      </w:pPr>
      <w:r>
        <w:rPr>
          <w:b/>
          <w:i/>
          <w:sz w:val="28"/>
          <w:szCs w:val="28"/>
        </w:rPr>
        <w:t>Въздействие върху конкурентноспособността и иновациите, малките и средните предприятия.</w:t>
      </w:r>
      <w:r>
        <w:rPr>
          <w:sz w:val="28"/>
          <w:szCs w:val="28"/>
        </w:rPr>
        <w:t xml:space="preserve"> За повишаване на конкурентноспособността на ниво регионална икономика, местните икономики и отделни компании са предвидени инвестиции в инфраструктурата за подкрепа на бизнеса с акцент върху развитие на технологичния потенциал на района за планиране</w:t>
      </w:r>
      <w:r>
        <w:rPr>
          <w:color w:val="FF0000"/>
          <w:sz w:val="28"/>
          <w:szCs w:val="28"/>
        </w:rPr>
        <w:t xml:space="preserve">. </w:t>
      </w:r>
    </w:p>
    <w:p>
      <w:pPr>
        <w:pStyle w:val="Normal"/>
        <w:spacing w:lineRule="auto" w:line="360"/>
        <w:jc w:val="both"/>
        <w:rPr>
          <w:b/>
          <w:b/>
          <w:i/>
          <w:i/>
          <w:sz w:val="28"/>
          <w:szCs w:val="28"/>
        </w:rPr>
      </w:pPr>
      <w:r>
        <w:rPr>
          <w:b/>
          <w:i/>
          <w:sz w:val="28"/>
          <w:szCs w:val="28"/>
        </w:rPr>
        <w:t>Анализ на финансовите ресурси за изпълнение на плана</w:t>
      </w:r>
    </w:p>
    <w:p>
      <w:pPr>
        <w:pStyle w:val="Normal"/>
        <w:spacing w:lineRule="auto" w:line="360"/>
        <w:ind w:firstLine="709"/>
        <w:jc w:val="both"/>
        <w:rPr>
          <w:sz w:val="28"/>
          <w:szCs w:val="28"/>
        </w:rPr>
      </w:pPr>
      <w:r>
        <w:rPr>
          <w:sz w:val="28"/>
          <w:szCs w:val="28"/>
        </w:rPr>
        <w:t>При планирането на финансовите ресурси е отразена коректно договорената рамка за подкрепа от ЕС при подписване на договора за присъединяване за периода 2007 - 2009г. При определяне на финансиранията е направено допускане за увеличение на средствата с 10% за оставащата част от плановия период. Сценарият е оптимистичен като не е отразена възможността за присъединяване на Република България към Европейския съюз през година различна от 2007г.</w:t>
      </w:r>
    </w:p>
    <w:p>
      <w:pPr>
        <w:pStyle w:val="Normal"/>
        <w:spacing w:lineRule="auto" w:line="360"/>
        <w:ind w:firstLine="709"/>
        <w:jc w:val="both"/>
        <w:rPr>
          <w:sz w:val="28"/>
          <w:szCs w:val="28"/>
        </w:rPr>
      </w:pPr>
      <w:r>
        <w:rPr>
          <w:sz w:val="28"/>
          <w:szCs w:val="28"/>
        </w:rPr>
        <w:t>Отразен е допълващият характер на средствата от Структурните фондове и Кохезионния фонд на ЕС. Предвидено е значително национално финансиране в подкрепа на регионалната политика. Принципът на концентрация на интервенциите намира отражение в дефинирания обхват на мерките и в предложеното финансиране на районите за целенасочено въздействие в изпълнение на Закона за регионалното развитие.</w:t>
      </w:r>
    </w:p>
    <w:p>
      <w:pPr>
        <w:pStyle w:val="Normal"/>
        <w:spacing w:lineRule="auto" w:line="360"/>
        <w:ind w:firstLine="709"/>
        <w:jc w:val="both"/>
        <w:rPr>
          <w:sz w:val="28"/>
          <w:szCs w:val="28"/>
        </w:rPr>
      </w:pPr>
      <w:r>
        <w:rPr>
          <w:b/>
          <w:i/>
          <w:spacing w:val="-1"/>
          <w:sz w:val="28"/>
          <w:szCs w:val="28"/>
        </w:rPr>
        <w:t>Партньорство, публичност и прозрачност при подготовката и изпълнението на плана за развитие на Североизточния район за планиране</w:t>
      </w:r>
    </w:p>
    <w:p>
      <w:pPr>
        <w:pStyle w:val="Normal"/>
        <w:spacing w:lineRule="auto" w:line="360"/>
        <w:ind w:firstLine="709"/>
        <w:jc w:val="both"/>
        <w:rPr>
          <w:sz w:val="28"/>
          <w:szCs w:val="28"/>
        </w:rPr>
      </w:pPr>
      <w:r>
        <w:rPr>
          <w:sz w:val="28"/>
          <w:szCs w:val="28"/>
        </w:rPr>
        <w:t xml:space="preserve">Екипът е работил плана за регионално развитие на СИРП в сътрудничество с представители на областните администрации и заинтересованите социално–икономически партньори. Това е позволило формулираните приоритети и мерки да отразяват спецификата на района, гарантирайки максимално ефективно изпълнение на плана. При подготовка на предварителната оценка, </w:t>
      </w:r>
      <w:r>
        <w:rPr>
          <w:spacing w:val="-1"/>
          <w:sz w:val="28"/>
          <w:szCs w:val="28"/>
        </w:rPr>
        <w:t>оценяващият екип не откри различия между предложените в плана механизми и регламентите в Закона за регионалното развитие и под законовите нормативни актове.</w:t>
      </w:r>
    </w:p>
    <w:p>
      <w:pPr>
        <w:pStyle w:val="Normal"/>
        <w:shd w:fill="FFFFFF" w:val="clear"/>
        <w:spacing w:lineRule="auto" w:line="360"/>
        <w:jc w:val="both"/>
        <w:rPr>
          <w:b/>
          <w:b/>
          <w:i/>
          <w:i/>
          <w:spacing w:val="-1"/>
          <w:sz w:val="28"/>
          <w:szCs w:val="28"/>
        </w:rPr>
      </w:pPr>
      <w:r>
        <w:rPr>
          <w:b/>
          <w:i/>
          <w:spacing w:val="-1"/>
          <w:sz w:val="28"/>
          <w:szCs w:val="28"/>
        </w:rPr>
        <w:t>Система за мониторинг и оценка на плана</w:t>
      </w:r>
    </w:p>
    <w:p>
      <w:pPr>
        <w:pStyle w:val="Normal"/>
        <w:spacing w:lineRule="auto" w:line="360"/>
        <w:ind w:firstLine="709"/>
        <w:jc w:val="both"/>
        <w:rPr>
          <w:sz w:val="28"/>
          <w:szCs w:val="28"/>
        </w:rPr>
      </w:pPr>
      <w:r>
        <w:rPr>
          <w:sz w:val="28"/>
          <w:szCs w:val="28"/>
        </w:rPr>
        <w:t>Системата за мониторинг и оценка на Плана за регионално развитие на Североизточния район за планиране (2007-2013) е регламентирана в Закона за регионалното развитие. Целта е с помощта на индикаторите да се осигури оценката на ефективността на прилаганите интервенции и използваните ресурси. За да може да се наблюдава и оценява изпълнението на плана е необходимо да се използват индикатори, данните, за които трябва да са достъпни в регионалната статистика или да могат да се съберат чрез местните власти или регионални структури, без това да налага продължително изследване във времето.</w:t>
      </w:r>
    </w:p>
    <w:p>
      <w:pPr>
        <w:pStyle w:val="Normal"/>
        <w:spacing w:lineRule="auto" w:line="360"/>
        <w:ind w:firstLine="709"/>
        <w:jc w:val="both"/>
        <w:rPr>
          <w:sz w:val="28"/>
          <w:szCs w:val="28"/>
        </w:rPr>
      </w:pPr>
      <w:r>
        <w:rPr>
          <w:sz w:val="28"/>
          <w:szCs w:val="28"/>
        </w:rPr>
        <w:t>Няма данни за проведени обсъждания на плана на областно ниво. Затова е целесъобразно плана за СИРП да се качи на сайта на МРРБ и областните администрации от региона да представят писмени съображения и оценки за него.</w:t>
      </w:r>
    </w:p>
    <w:p>
      <w:pPr>
        <w:pStyle w:val="Normal"/>
        <w:spacing w:lineRule="auto" w:line="360"/>
        <w:ind w:firstLine="709"/>
        <w:jc w:val="both"/>
        <w:rPr>
          <w:sz w:val="28"/>
          <w:szCs w:val="28"/>
        </w:rPr>
      </w:pPr>
      <w:r>
        <w:rPr>
          <w:sz w:val="28"/>
          <w:szCs w:val="28"/>
        </w:rPr>
        <w:t>В плана за регионално развитие на СИРП са дадени само основните целеви индикатори.</w:t>
      </w:r>
    </w:p>
    <w:p>
      <w:pPr>
        <w:pStyle w:val="Normal"/>
        <w:spacing w:lineRule="auto" w:line="360"/>
        <w:jc w:val="both"/>
        <w:rPr>
          <w:sz w:val="28"/>
          <w:szCs w:val="28"/>
        </w:rPr>
      </w:pPr>
      <w:r>
        <w:rPr>
          <w:sz w:val="28"/>
          <w:szCs w:val="28"/>
        </w:rPr>
        <w:t>Общото заключение от Предварителната оценка на плана за развитие на Североизточния район за планиране (2007-2013) е, че документът е разработен в съответствие с нормативната база и по-конкретно Закона за регионалното развитие и Наредбата за условията и реда за приемане, финансиране и изпълнение на стратегиите, плановете и Програмата за регионално развитие. Регионалният план за развитие на СИРП е разработен и в съответствие с “Методически указания за разработване на Регионални планове за развитие”.</w:t>
      </w:r>
    </w:p>
    <w:p>
      <w:pPr>
        <w:pStyle w:val="Normal"/>
        <w:spacing w:lineRule="auto" w:line="360"/>
        <w:ind w:firstLine="709"/>
        <w:jc w:val="both"/>
        <w:rPr>
          <w:sz w:val="28"/>
          <w:szCs w:val="28"/>
        </w:rPr>
      </w:pPr>
      <w:r>
        <w:rPr>
          <w:sz w:val="28"/>
          <w:szCs w:val="28"/>
        </w:rPr>
        <w:t xml:space="preserve">Документът отговаря на националната политика в областта на регионалното развитие и съответства на Европейската регионална политика. Осигурено е съответствие между планираните цели, приоритети и мерки и целите и принципите на Структурните фондове, Кохезионния фонд и Европейския фонд за развитие на селските райони. Препоръчително е поради спецификата на района да се предвидят мерки и финансиране от Европейския фонд за развитие на рибарството. </w:t>
      </w:r>
    </w:p>
    <w:p>
      <w:pPr>
        <w:pStyle w:val="Normal"/>
        <w:spacing w:lineRule="auto" w:line="360"/>
        <w:ind w:firstLine="709"/>
        <w:jc w:val="both"/>
        <w:rPr>
          <w:sz w:val="28"/>
          <w:szCs w:val="28"/>
        </w:rPr>
      </w:pPr>
      <w:r>
        <w:rPr>
          <w:sz w:val="28"/>
          <w:szCs w:val="28"/>
        </w:rPr>
        <w:t>За подобряване качеството на документа, препоръчваме да бъдат направени следните допълнения и промени:</w:t>
      </w:r>
    </w:p>
    <w:p>
      <w:pPr>
        <w:pStyle w:val="Normal"/>
        <w:numPr>
          <w:ilvl w:val="0"/>
          <w:numId w:val="2"/>
        </w:numPr>
        <w:tabs>
          <w:tab w:val="clear" w:pos="708"/>
          <w:tab w:val="left" w:pos="0" w:leader="none"/>
        </w:tabs>
        <w:overflowPunct w:val="false"/>
        <w:autoSpaceDE w:val="false"/>
        <w:spacing w:lineRule="auto" w:line="360"/>
        <w:jc w:val="both"/>
        <w:textAlignment w:val="baseline"/>
        <w:rPr>
          <w:sz w:val="28"/>
          <w:szCs w:val="28"/>
        </w:rPr>
      </w:pPr>
      <w:r>
        <w:rPr>
          <w:sz w:val="28"/>
          <w:szCs w:val="28"/>
        </w:rPr>
        <w:t>Анализът на силните и слаби страни, на възможностите и заплахите да се извърши и като отделни SWOT-анализи на: “икономическо развитие”; “социално развитие”; “техническа инфраструктура”; “околна среда и екологичен риск”; “развитие на градовете”.</w:t>
      </w:r>
    </w:p>
    <w:p>
      <w:pPr>
        <w:pStyle w:val="Normal"/>
        <w:numPr>
          <w:ilvl w:val="0"/>
          <w:numId w:val="2"/>
        </w:numPr>
        <w:spacing w:lineRule="auto" w:line="360"/>
        <w:jc w:val="both"/>
        <w:rPr>
          <w:sz w:val="28"/>
          <w:szCs w:val="28"/>
        </w:rPr>
      </w:pPr>
      <w:r>
        <w:rPr>
          <w:sz w:val="28"/>
          <w:szCs w:val="28"/>
        </w:rPr>
        <w:t>Да се допълнят статистическите данни, където е възможно с данни за 2003г. и 2004г.</w:t>
      </w:r>
    </w:p>
    <w:p>
      <w:pPr>
        <w:pStyle w:val="Normal"/>
        <w:numPr>
          <w:ilvl w:val="0"/>
          <w:numId w:val="2"/>
        </w:numPr>
        <w:tabs>
          <w:tab w:val="clear" w:pos="708"/>
          <w:tab w:val="left" w:pos="0" w:leader="none"/>
        </w:tabs>
        <w:overflowPunct w:val="false"/>
        <w:autoSpaceDE w:val="false"/>
        <w:spacing w:lineRule="auto" w:line="360"/>
        <w:jc w:val="both"/>
        <w:textAlignment w:val="baseline"/>
        <w:rPr>
          <w:sz w:val="28"/>
          <w:szCs w:val="28"/>
        </w:rPr>
      </w:pPr>
      <w:r>
        <w:rPr>
          <w:sz w:val="28"/>
          <w:szCs w:val="28"/>
        </w:rPr>
        <w:t>Да се преизчисли размерът на необходимите средства за предотвратяване на рискове, като мярка “Предпазване от рискове” се преформулира в “Предпазване от рискове и укрепване на свлачища”. Размерът на финансирането да бъде съотносим с размера на програмата “България - укрепване на свлачищата по Черноморското крайбрежие”.</w:t>
      </w:r>
    </w:p>
    <w:p>
      <w:pPr>
        <w:pStyle w:val="Normal"/>
        <w:numPr>
          <w:ilvl w:val="0"/>
          <w:numId w:val="2"/>
        </w:numPr>
        <w:overflowPunct w:val="false"/>
        <w:autoSpaceDE w:val="false"/>
        <w:spacing w:lineRule="auto" w:line="360"/>
        <w:jc w:val="both"/>
        <w:textAlignment w:val="baseline"/>
        <w:rPr>
          <w:sz w:val="28"/>
          <w:szCs w:val="28"/>
        </w:rPr>
      </w:pPr>
      <w:r>
        <w:rPr>
          <w:sz w:val="28"/>
          <w:szCs w:val="28"/>
        </w:rPr>
        <w:t>В план за регионално развитие на СИРП са дадени само основните целеви индикатори. За основните целеви индикатори е необходимо да се впише базовото равнище. Необходимо е да бъдат въведени още: индикатори за ресурса, индикатори за продукта, индикатори за резултата, индикатори за въздействието</w:t>
      </w:r>
    </w:p>
    <w:p>
      <w:pPr>
        <w:pStyle w:val="Normal"/>
        <w:numPr>
          <w:ilvl w:val="0"/>
          <w:numId w:val="2"/>
        </w:numPr>
        <w:overflowPunct w:val="false"/>
        <w:autoSpaceDE w:val="false"/>
        <w:spacing w:lineRule="auto" w:line="360"/>
        <w:jc w:val="both"/>
        <w:textAlignment w:val="baseline"/>
        <w:rPr>
          <w:sz w:val="28"/>
          <w:szCs w:val="28"/>
        </w:rPr>
      </w:pPr>
      <w:r>
        <w:rPr>
          <w:sz w:val="28"/>
          <w:szCs w:val="28"/>
        </w:rPr>
        <w:t>Да се даде предполагаемата сума за периода 2007-2013г. от финансирането на европейските фондовете за България. Съответно да се обоснове тяхното разпределение в СИРП чрез показатели: население, територия и БВП.</w:t>
      </w:r>
    </w:p>
    <w:p>
      <w:pPr>
        <w:pStyle w:val="Normal"/>
        <w:numPr>
          <w:ilvl w:val="0"/>
          <w:numId w:val="2"/>
        </w:numPr>
        <w:overflowPunct w:val="false"/>
        <w:autoSpaceDE w:val="false"/>
        <w:spacing w:lineRule="auto" w:line="360"/>
        <w:jc w:val="both"/>
        <w:textAlignment w:val="baseline"/>
        <w:rPr>
          <w:sz w:val="28"/>
          <w:szCs w:val="28"/>
        </w:rPr>
      </w:pPr>
      <w:r>
        <w:rPr>
          <w:sz w:val="28"/>
          <w:szCs w:val="28"/>
        </w:rPr>
        <w:t xml:space="preserve">Да се обосноват финансовите ресурси, разпределени по най-капиталоемките мерки с реалните разходи по идентифицираните проекти. </w:t>
      </w:r>
    </w:p>
    <w:p>
      <w:pPr>
        <w:pStyle w:val="Normal"/>
        <w:numPr>
          <w:ilvl w:val="0"/>
          <w:numId w:val="2"/>
        </w:numPr>
        <w:overflowPunct w:val="false"/>
        <w:autoSpaceDE w:val="false"/>
        <w:spacing w:lineRule="auto" w:line="360"/>
        <w:jc w:val="both"/>
        <w:textAlignment w:val="baseline"/>
        <w:rPr>
          <w:sz w:val="28"/>
          <w:szCs w:val="28"/>
        </w:rPr>
      </w:pPr>
      <w:r>
        <w:rPr>
          <w:sz w:val="28"/>
          <w:szCs w:val="28"/>
        </w:rPr>
        <w:t>Към регионалния план да се разработи приложение “Информация и публичност”.</w:t>
      </w:r>
    </w:p>
    <w:p>
      <w:pPr>
        <w:pStyle w:val="Normal"/>
        <w:numPr>
          <w:ilvl w:val="0"/>
          <w:numId w:val="2"/>
        </w:numPr>
        <w:overflowPunct w:val="false"/>
        <w:autoSpaceDE w:val="false"/>
        <w:spacing w:lineRule="auto" w:line="360"/>
        <w:jc w:val="both"/>
        <w:textAlignment w:val="baseline"/>
        <w:rPr>
          <w:sz w:val="28"/>
          <w:szCs w:val="28"/>
        </w:rPr>
      </w:pPr>
      <w:r>
        <w:rPr>
          <w:sz w:val="28"/>
          <w:szCs w:val="28"/>
        </w:rPr>
        <w:t>В аналитичната част, разглеждаща околната среда и оценката на екологичния риск е пропусната оценката на “вредното влияние на водите” - осигуреността със системите срещу висока вълна от прииждането на водите на реките при интензивни валежи, опасността от наводнения в селищните територии, необходимостта от корекции и осигуряване на проводимост на охранителните канали и реките, както и изобщо не е засегнат въпроса със свлачищата и морската абразия. В тази насока разработката трябва да се допълни.</w:t>
      </w:r>
    </w:p>
    <w:p>
      <w:pPr>
        <w:pStyle w:val="Normal"/>
        <w:rPr>
          <w:sz w:val="28"/>
          <w:szCs w:val="28"/>
        </w:rPr>
      </w:pPr>
      <w:r>
        <w:rPr>
          <w:sz w:val="28"/>
          <w:szCs w:val="28"/>
        </w:rPr>
      </w:r>
    </w:p>
    <w:sectPr>
      <w:footerReference w:type="default" r:id="rId2"/>
      <w:footnotePr>
        <w:numFmt w:val="decimal"/>
      </w:footnotePr>
      <w:type w:val="nextPage"/>
      <w:pgSz w:w="11906" w:h="16838"/>
      <w:pgMar w:left="1417" w:right="1417" w:gutter="0" w:header="0" w:top="899" w:footer="72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 w:name="ExcelciorCyr">
    <w:altName w:val="Times New Roman"/>
    <w:charset w:val="00"/>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r>
      <mc:AlternateContent>
        <mc:Choice Requires="wps">
          <w:drawing>
            <wp:anchor behindDoc="0" distT="0" distB="0" distL="0" distR="0" simplePos="0" locked="0" layoutInCell="0" allowOverlap="1" relativeHeight="25">
              <wp:simplePos x="0" y="0"/>
              <wp:positionH relativeFrom="margin">
                <wp:align>center</wp:align>
              </wp:positionH>
              <wp:positionV relativeFrom="paragraph">
                <wp:posOffset>635</wp:posOffset>
              </wp:positionV>
              <wp:extent cx="153035" cy="175260"/>
              <wp:effectExtent l="0" t="0" r="0" b="0"/>
              <wp:wrapSquare wrapText="largest"/>
              <wp:docPr id="1"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24</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220.8pt;mso-position-horizontal:center;mso-position-horizontal-relative:margin">
              <v:fill opacity="0f"/>
              <v:textbox inset="0in,0in,0in,0in">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24</w:t>
                    </w:r>
                    <w:r>
                      <w:rPr>
                        <w:rStyle w:val="PageNumber"/>
                      </w:rPr>
                      <w:fldChar w:fldCharType="end"/>
                    </w:r>
                  </w:p>
                </w:txbxContent>
              </v:textbox>
              <w10:wrap type="square" side="largest"/>
            </v:rect>
          </w:pict>
        </mc:Fallback>
      </mc:AlternateConten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widowControl/>
        <w:spacing w:before="0" w:after="120"/>
        <w:rPr/>
      </w:pPr>
      <w:r>
        <w:rPr>
          <w:rStyle w:val="FootnoteCharacters"/>
        </w:rPr>
        <w:footnoteRef/>
      </w:r>
      <w:r>
        <w:rPr/>
      </w:r>
    </w:p>
  </w:footnote>
  <w:footnote w:id="3">
    <w:p>
      <w:pPr>
        <w:pStyle w:val="Normal"/>
        <w:jc w:val="both"/>
        <w:rPr/>
      </w:pPr>
      <w:r>
        <w:rPr>
          <w:rStyle w:val="FootnoteCharacters"/>
        </w:rPr>
        <w:footnoteRef/>
      </w: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
      <w:lvlJc w:val="left"/>
      <w:pPr>
        <w:tabs>
          <w:tab w:val="num" w:pos="360"/>
        </w:tabs>
        <w:ind w:left="1069" w:hanging="360"/>
      </w:pPr>
      <w:rPr>
        <w:sz w:val="24"/>
        <w:i w:val="false"/>
        <w:u w:val="none"/>
        <w:b w:val="false"/>
        <w:rFonts w:ascii="Times New Roman" w:hAnsi="Times New Roman" w:cs="Times New Roman"/>
      </w:rPr>
    </w:lvl>
  </w:abstractNum>
  <w:abstractNum w:abstractNumId="3">
    <w:lvl w:ilvl="0">
      <w:numFmt w:val="bullet"/>
      <w:lvlText w:val=""/>
      <w:lvlJc w:val="left"/>
      <w:pPr>
        <w:tabs>
          <w:tab w:val="num" w:pos="2149"/>
        </w:tabs>
        <w:ind w:left="2149" w:hanging="360"/>
      </w:pPr>
      <w:rPr>
        <w:rFonts w:ascii="Symbol" w:hAnsi="Symbol" w:cs="Symbol"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paragraph" w:styleId="Heading1">
    <w:name w:val="Heading 1"/>
    <w:basedOn w:val="Normal"/>
    <w:next w:val="Normal"/>
    <w:qFormat/>
    <w:pPr>
      <w:keepNext w:val="true"/>
      <w:widowControl w:val="false"/>
      <w:numPr>
        <w:ilvl w:val="0"/>
        <w:numId w:val="1"/>
      </w:numPr>
      <w:overflowPunct w:val="false"/>
      <w:autoSpaceDE w:val="false"/>
      <w:spacing w:before="240" w:after="60"/>
      <w:textAlignment w:val="baseline"/>
      <w:outlineLvl w:val="0"/>
    </w:pPr>
    <w:rPr>
      <w:rFonts w:ascii="Arial" w:hAnsi="Arial" w:cs="Arial"/>
      <w:b/>
      <w:kern w:val="2"/>
      <w:sz w:val="32"/>
      <w:szCs w:val="20"/>
      <w:lang w:val="en-US"/>
    </w:rPr>
  </w:style>
  <w:style w:type="paragraph" w:styleId="Heading2">
    <w:name w:val="Heading 2"/>
    <w:basedOn w:val="Normal"/>
    <w:next w:val="Normal"/>
    <w:qFormat/>
    <w:pPr>
      <w:keepNext w:val="true"/>
      <w:numPr>
        <w:ilvl w:val="1"/>
        <w:numId w:val="1"/>
      </w:numPr>
      <w:spacing w:before="240" w:after="60"/>
      <w:outlineLvl w:val="1"/>
    </w:pPr>
    <w:rPr>
      <w:rFonts w:ascii="Arial" w:hAnsi="Arial" w:cs="Arial"/>
      <w:b/>
      <w:bCs/>
      <w:i/>
      <w:iCs/>
      <w:sz w:val="28"/>
      <w:szCs w:val="28"/>
    </w:rPr>
  </w:style>
  <w:style w:type="character" w:styleId="WW8Num1z0">
    <w:name w:val="WW8Num1z0"/>
    <w:qFormat/>
    <w:rPr>
      <w:rFonts w:ascii="Times New Roman" w:hAnsi="Times New Roman" w:cs="Times New Roman"/>
      <w:b w:val="false"/>
      <w:i w:val="false"/>
      <w:sz w:val="24"/>
      <w:u w:val="none"/>
    </w:rPr>
  </w:style>
  <w:style w:type="character" w:styleId="WW8Num2z0">
    <w:name w:val="WW8Num2z0"/>
    <w:qFormat/>
    <w:rPr>
      <w:rFonts w:ascii="Symbol" w:hAnsi="Symbol" w:eastAsia="Times New Roman" w:cs="Times New Roman"/>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rFonts w:ascii="Symbol" w:hAnsi="Symbol" w:eastAsia="Times New Roman" w:cs="Times New Roman"/>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rFonts w:ascii="Symbol" w:hAnsi="Symbol" w:eastAsia="Times New Roman" w:cs="Times New Roman"/>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Symbol" w:hAnsi="Symbol" w:eastAsia="Times New Roman" w:cs="Times New Roman"/>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Symbol" w:hAnsi="Symbol" w:eastAsia="Times New Roman"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Style12">
    <w:name w:val="Шрифт на абзаца по подразбиране"/>
    <w:qFormat/>
    <w:rPr/>
  </w:style>
  <w:style w:type="character" w:styleId="FootnoteCharacters">
    <w:name w:val="Footnote Characters"/>
    <w:basedOn w:val="Style12"/>
    <w:qFormat/>
    <w:rPr>
      <w:sz w:val="20"/>
      <w:vertAlign w:val="superscript"/>
    </w:rPr>
  </w:style>
  <w:style w:type="character" w:styleId="PageNumber">
    <w:name w:val="Page Number"/>
    <w:basedOn w:val="Style12"/>
    <w:rPr/>
  </w:style>
  <w:style w:type="character" w:styleId="FootnoteAnchor">
    <w:name w:val="Footnote Reference"/>
    <w:rPr>
      <w:vertAlign w:val="superscript"/>
    </w:rPr>
  </w:style>
  <w:style w:type="character" w:styleId="EndnoteAnchor">
    <w:name w:val="Endnote Reference"/>
    <w:rPr>
      <w:vertAlign w:val="superscript"/>
    </w:rPr>
  </w:style>
  <w:style w:type="character" w:styleId="EndnoteCharacters">
    <w:name w:val="Endnote Characters"/>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before="0" w:after="12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lang w:val="zxx" w:eastAsia="zxx" w:bidi="zxx"/>
    </w:rPr>
  </w:style>
  <w:style w:type="paragraph" w:styleId="Footnote">
    <w:name w:val="Footnote Text"/>
    <w:basedOn w:val="Normal"/>
    <w:pPr>
      <w:widowControl w:val="false"/>
      <w:overflowPunct w:val="false"/>
      <w:autoSpaceDE w:val="false"/>
      <w:spacing w:before="0" w:after="120"/>
      <w:jc w:val="both"/>
      <w:textAlignment w:val="baseline"/>
    </w:pPr>
    <w:rPr>
      <w:rFonts w:ascii="ExcelciorCyr;Times New Roman" w:hAnsi="ExcelciorCyr;Times New Roman" w:cs="ExcelciorCyr;Times New Roman"/>
      <w:sz w:val="18"/>
      <w:szCs w:val="20"/>
      <w:lang w:val="en-US"/>
    </w:rPr>
  </w:style>
  <w:style w:type="paragraph" w:styleId="3">
    <w:name w:val="Основен текст с отстъп 3"/>
    <w:basedOn w:val="Normal"/>
    <w:qFormat/>
    <w:pPr>
      <w:widowControl w:val="false"/>
      <w:overflowPunct w:val="false"/>
      <w:autoSpaceDE w:val="false"/>
      <w:spacing w:before="0" w:after="120"/>
      <w:ind w:left="283" w:hanging="0"/>
      <w:textAlignment w:val="baseline"/>
    </w:pPr>
    <w:rPr>
      <w:sz w:val="16"/>
      <w:szCs w:val="20"/>
      <w:lang w:val="en-US"/>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536" w:leader="none"/>
        <w:tab w:val="right" w:pos="9072" w:leader="none"/>
      </w:tabs>
    </w:pPr>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8</TotalTime>
  <Application>LibreOffice/7.4.1.2$Linux_X86_64 LibreOffice_project/40$Build-2</Application>
  <AppVersion>15.0000</AppVersion>
  <Pages>24</Pages>
  <Words>5834</Words>
  <Characters>36923</Characters>
  <CharactersWithSpaces>42683</CharactersWithSpaces>
  <Paragraphs>105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2008-01-11T14:34:00Z</dcterms:created>
  <dc:creator>pc</dc:creator>
  <dc:description/>
  <dc:language>en-US</dc:language>
  <cp:lastModifiedBy>pc</cp:lastModifiedBy>
  <dcterms:modified xsi:type="dcterms:W3CDTF">2008-01-11T14:45:00Z</dcterms:modified>
  <cp:revision>1</cp:revision>
  <dc:subject/>
  <dc:title>Целта на настоящия документ е да представи извършената предварителна оценка на План за регионално развитие на Североизточния р</dc:title>
</cp:coreProperties>
</file>